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val="0"/>
        <w:adjustRightInd w:val="0"/>
        <w:snapToGrid w:val="0"/>
        <w:spacing w:line="540" w:lineRule="atLeast"/>
        <w:rPr>
          <w:rFonts w:hint="eastAsia" w:ascii="黑体" w:hAnsi="黑体" w:eastAsia="黑体"/>
          <w:color w:val="000000"/>
          <w:szCs w:val="32"/>
        </w:rPr>
      </w:pPr>
      <w:r>
        <w:rPr>
          <w:rFonts w:hint="eastAsia" w:ascii="黑体" w:hAnsi="黑体" w:eastAsia="黑体"/>
          <w:color w:val="000000"/>
          <w:szCs w:val="32"/>
        </w:rPr>
        <w:t>附件</w:t>
      </w:r>
    </w:p>
    <w:p>
      <w:pPr>
        <w:adjustRightInd w:val="0"/>
        <w:snapToGrid w:val="0"/>
        <w:spacing w:line="240" w:lineRule="atLeast"/>
        <w:jc w:val="center"/>
        <w:rPr>
          <w:rFonts w:hint="eastAsia" w:ascii="方正小标宋简体" w:eastAsia="方正小标宋简体"/>
          <w:color w:val="000000"/>
          <w:sz w:val="36"/>
          <w:szCs w:val="36"/>
        </w:rPr>
      </w:pPr>
    </w:p>
    <w:p>
      <w:pPr>
        <w:pStyle w:val="9"/>
        <w:ind w:left="1226" w:leftChars="87" w:hanging="948" w:hangingChars="300"/>
        <w:jc w:val="center"/>
        <w:rPr>
          <w:rStyle w:val="10"/>
          <w:rFonts w:hint="eastAsia" w:ascii="仿宋_GB2312"/>
          <w:sz w:val="30"/>
          <w:szCs w:val="30"/>
        </w:rPr>
      </w:pPr>
      <w:r>
        <w:rPr>
          <w:rFonts w:hint="eastAsia" w:ascii="方正小标宋简体" w:eastAsia="方正小标宋简体"/>
          <w:color w:val="000000"/>
          <w:sz w:val="30"/>
          <w:szCs w:val="30"/>
        </w:rPr>
        <w:t>202</w:t>
      </w:r>
      <w:r>
        <w:rPr>
          <w:rFonts w:hint="eastAsia" w:ascii="方正小标宋简体" w:eastAsia="方正小标宋简体"/>
          <w:color w:val="000000"/>
          <w:sz w:val="30"/>
          <w:szCs w:val="30"/>
          <w:lang w:val="en-US" w:eastAsia="zh-CN"/>
        </w:rPr>
        <w:t>2</w:t>
      </w:r>
      <w:r>
        <w:rPr>
          <w:rFonts w:hint="eastAsia" w:ascii="方正小标宋简体" w:eastAsia="方正小标宋简体"/>
          <w:color w:val="000000"/>
          <w:sz w:val="30"/>
          <w:szCs w:val="30"/>
        </w:rPr>
        <w:t>年度水运工程信用评价项目清单</w:t>
      </w:r>
    </w:p>
    <w:tbl>
      <w:tblPr>
        <w:tblStyle w:val="3"/>
        <w:tblW w:w="9268" w:type="dxa"/>
        <w:jc w:val="center"/>
        <w:tblLayout w:type="fixed"/>
        <w:tblCellMar>
          <w:top w:w="15" w:type="dxa"/>
          <w:left w:w="15" w:type="dxa"/>
          <w:bottom w:w="15" w:type="dxa"/>
          <w:right w:w="15" w:type="dxa"/>
        </w:tblCellMar>
      </w:tblPr>
      <w:tblGrid>
        <w:gridCol w:w="577"/>
        <w:gridCol w:w="3242"/>
        <w:gridCol w:w="2664"/>
        <w:gridCol w:w="1806"/>
        <w:gridCol w:w="979"/>
      </w:tblGrid>
      <w:tr>
        <w:tblPrEx>
          <w:tblCellMar>
            <w:top w:w="15" w:type="dxa"/>
            <w:left w:w="15" w:type="dxa"/>
            <w:bottom w:w="15" w:type="dxa"/>
            <w:right w:w="15" w:type="dxa"/>
          </w:tblCellMar>
        </w:tblPrEx>
        <w:trPr>
          <w:trHeight w:val="567" w:hRule="atLeast"/>
          <w:tblHeader/>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黑体" w:hAnsi="黑体" w:eastAsia="黑体" w:cs="黑体"/>
                <w:bCs/>
                <w:color w:val="auto"/>
                <w:sz w:val="24"/>
                <w:szCs w:val="24"/>
                <w:highlight w:val="none"/>
              </w:rPr>
            </w:pPr>
            <w:r>
              <w:rPr>
                <w:rFonts w:hint="eastAsia" w:ascii="黑体" w:hAnsi="黑体" w:eastAsia="黑体" w:cs="黑体"/>
                <w:bCs/>
                <w:color w:val="auto"/>
                <w:kern w:val="0"/>
                <w:sz w:val="24"/>
                <w:szCs w:val="24"/>
                <w:highlight w:val="none"/>
                <w:lang w:bidi="ar"/>
              </w:rPr>
              <w:t>序号</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黑体" w:hAnsi="黑体" w:eastAsia="黑体" w:cs="黑体"/>
                <w:bCs/>
                <w:color w:val="auto"/>
                <w:sz w:val="24"/>
                <w:szCs w:val="24"/>
                <w:highlight w:val="none"/>
              </w:rPr>
            </w:pPr>
            <w:r>
              <w:rPr>
                <w:rFonts w:hint="eastAsia" w:ascii="黑体" w:hAnsi="黑体" w:eastAsia="黑体" w:cs="黑体"/>
                <w:bCs/>
                <w:color w:val="auto"/>
                <w:kern w:val="0"/>
                <w:sz w:val="24"/>
                <w:szCs w:val="24"/>
                <w:highlight w:val="none"/>
                <w:lang w:bidi="ar"/>
              </w:rPr>
              <w:t>项目名称</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黑体" w:hAnsi="黑体" w:eastAsia="黑体" w:cs="黑体"/>
                <w:bCs/>
                <w:color w:val="auto"/>
                <w:sz w:val="24"/>
                <w:szCs w:val="24"/>
                <w:highlight w:val="none"/>
              </w:rPr>
            </w:pPr>
            <w:r>
              <w:rPr>
                <w:rFonts w:hint="eastAsia" w:ascii="黑体" w:hAnsi="黑体" w:eastAsia="黑体" w:cs="黑体"/>
                <w:bCs/>
                <w:color w:val="auto"/>
                <w:kern w:val="0"/>
                <w:sz w:val="24"/>
                <w:szCs w:val="24"/>
                <w:highlight w:val="none"/>
                <w:lang w:bidi="ar"/>
              </w:rPr>
              <w:t>项目业主(建设单位)</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黑体" w:hAnsi="黑体" w:eastAsia="黑体" w:cs="黑体"/>
                <w:bCs/>
                <w:color w:val="auto"/>
                <w:kern w:val="0"/>
                <w:sz w:val="24"/>
                <w:szCs w:val="24"/>
                <w:highlight w:val="none"/>
                <w:lang w:bidi="ar"/>
              </w:rPr>
            </w:pPr>
            <w:r>
              <w:rPr>
                <w:rFonts w:hint="eastAsia" w:ascii="黑体" w:hAnsi="黑体" w:eastAsia="黑体" w:cs="黑体"/>
                <w:bCs/>
                <w:color w:val="auto"/>
                <w:kern w:val="0"/>
                <w:sz w:val="24"/>
                <w:szCs w:val="24"/>
                <w:highlight w:val="none"/>
                <w:lang w:bidi="ar"/>
              </w:rPr>
              <w:t>上级管理</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黑体" w:hAnsi="黑体" w:eastAsia="黑体" w:cs="黑体"/>
                <w:bCs/>
                <w:color w:val="auto"/>
                <w:sz w:val="24"/>
                <w:szCs w:val="24"/>
                <w:highlight w:val="none"/>
              </w:rPr>
            </w:pPr>
            <w:r>
              <w:rPr>
                <w:rFonts w:hint="eastAsia" w:ascii="黑体" w:hAnsi="黑体" w:eastAsia="黑体" w:cs="黑体"/>
                <w:bCs/>
                <w:color w:val="auto"/>
                <w:kern w:val="0"/>
                <w:sz w:val="24"/>
                <w:szCs w:val="24"/>
                <w:highlight w:val="none"/>
                <w:lang w:bidi="ar"/>
              </w:rPr>
              <w:t>单位</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黑体" w:hAnsi="黑体" w:eastAsia="黑体" w:cs="黑体"/>
                <w:bCs/>
                <w:color w:val="auto"/>
                <w:sz w:val="24"/>
                <w:szCs w:val="24"/>
                <w:highlight w:val="none"/>
              </w:rPr>
            </w:pPr>
            <w:r>
              <w:rPr>
                <w:rFonts w:hint="eastAsia" w:ascii="黑体" w:hAnsi="黑体" w:eastAsia="黑体" w:cs="黑体"/>
                <w:bCs/>
                <w:color w:val="auto"/>
                <w:kern w:val="0"/>
                <w:sz w:val="24"/>
                <w:szCs w:val="24"/>
                <w:highlight w:val="none"/>
                <w:lang w:bidi="ar"/>
              </w:rPr>
              <w:t>备注</w:t>
            </w: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cs="仿宋_GB2312"/>
                <w:color w:val="auto"/>
                <w:sz w:val="24"/>
                <w:szCs w:val="24"/>
                <w:highlight w:val="none"/>
              </w:rPr>
            </w:pPr>
            <w:r>
              <w:rPr>
                <w:rFonts w:hint="eastAsia" w:ascii="仿宋_GB2312" w:hAnsi="仿宋_GB2312" w:cs="仿宋_GB2312"/>
                <w:color w:val="auto"/>
                <w:kern w:val="0"/>
                <w:sz w:val="24"/>
                <w:szCs w:val="24"/>
                <w:highlight w:val="none"/>
                <w:lang w:bidi="ar"/>
              </w:rPr>
              <w:t>1</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广州港南沙港区四期工程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广州港股份有限公司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广州市港务局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cs="仿宋_GB2312"/>
                <w:color w:val="auto"/>
                <w:sz w:val="24"/>
                <w:szCs w:val="24"/>
                <w:highlight w:val="none"/>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cs="仿宋_GB2312"/>
                <w:color w:val="auto"/>
                <w:sz w:val="24"/>
                <w:szCs w:val="24"/>
                <w:highlight w:val="none"/>
              </w:rPr>
            </w:pPr>
            <w:r>
              <w:rPr>
                <w:rFonts w:hint="eastAsia" w:ascii="仿宋_GB2312" w:hAnsi="仿宋_GB2312" w:cs="仿宋_GB2312"/>
                <w:color w:val="auto"/>
                <w:kern w:val="0"/>
                <w:sz w:val="24"/>
                <w:szCs w:val="24"/>
                <w:highlight w:val="none"/>
                <w:lang w:bidi="ar"/>
              </w:rPr>
              <w:t>2</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sz w:val="24"/>
                <w:szCs w:val="24"/>
                <w:highlight w:val="none"/>
              </w:rPr>
            </w:pPr>
            <w:r>
              <w:rPr>
                <w:rFonts w:hint="eastAsia" w:ascii="仿宋_GB2312" w:hAnsi="仿宋_GB2312" w:cs="仿宋_GB2312"/>
                <w:color w:val="auto"/>
                <w:kern w:val="0"/>
                <w:sz w:val="24"/>
                <w:szCs w:val="24"/>
                <w:highlight w:val="none"/>
                <w:lang w:bidi="ar"/>
              </w:rPr>
              <w:t>广州港新沙港区11号12号泊位及驳船泊位工程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sz w:val="24"/>
                <w:szCs w:val="24"/>
                <w:highlight w:val="none"/>
              </w:rPr>
            </w:pPr>
            <w:r>
              <w:rPr>
                <w:rFonts w:hint="eastAsia" w:ascii="仿宋_GB2312" w:hAnsi="仿宋_GB2312" w:cs="仿宋_GB2312"/>
                <w:color w:val="auto"/>
                <w:kern w:val="0"/>
                <w:sz w:val="24"/>
                <w:szCs w:val="24"/>
                <w:highlight w:val="none"/>
                <w:lang w:bidi="ar"/>
              </w:rPr>
              <w:t>广州港新沙港务有限公司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sz w:val="24"/>
                <w:szCs w:val="24"/>
                <w:highlight w:val="none"/>
              </w:rPr>
            </w:pPr>
            <w:r>
              <w:rPr>
                <w:rFonts w:hint="eastAsia" w:ascii="仿宋_GB2312" w:hAnsi="仿宋_GB2312" w:cs="仿宋_GB2312"/>
                <w:color w:val="auto"/>
                <w:kern w:val="0"/>
                <w:sz w:val="24"/>
                <w:szCs w:val="24"/>
                <w:highlight w:val="none"/>
                <w:lang w:bidi="ar"/>
              </w:rPr>
              <w:t>广州市港务局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cs="仿宋_GB2312"/>
                <w:color w:val="auto"/>
                <w:sz w:val="24"/>
                <w:szCs w:val="24"/>
                <w:highlight w:val="none"/>
              </w:rPr>
            </w:pPr>
          </w:p>
        </w:tc>
      </w:tr>
      <w:tr>
        <w:tblPrEx>
          <w:tblCellMar>
            <w:top w:w="15" w:type="dxa"/>
            <w:left w:w="15" w:type="dxa"/>
            <w:bottom w:w="15" w:type="dxa"/>
            <w:right w:w="15" w:type="dxa"/>
          </w:tblCellMar>
        </w:tblPrEx>
        <w:trPr>
          <w:trHeight w:val="526"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cs="仿宋_GB2312"/>
                <w:color w:val="auto"/>
                <w:sz w:val="24"/>
                <w:szCs w:val="24"/>
                <w:highlight w:val="none"/>
              </w:rPr>
            </w:pPr>
            <w:r>
              <w:rPr>
                <w:rFonts w:hint="eastAsia" w:ascii="仿宋_GB2312" w:hAnsi="仿宋_GB2312" w:cs="仿宋_GB2312"/>
                <w:color w:val="auto"/>
                <w:kern w:val="0"/>
                <w:sz w:val="24"/>
                <w:szCs w:val="24"/>
                <w:highlight w:val="none"/>
                <w:lang w:bidi="ar"/>
              </w:rPr>
              <w:t>3</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天然气水合物钻采船（大洋钻探船）建设项目南部码头</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广州海洋地质调查局</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广州市港务局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default"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kern w:val="0"/>
                <w:sz w:val="24"/>
                <w:szCs w:val="24"/>
                <w:highlight w:val="none"/>
                <w:lang w:bidi="ar"/>
              </w:rPr>
              <w:t>4</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kern w:val="0"/>
                <w:sz w:val="24"/>
                <w:szCs w:val="24"/>
                <w:highlight w:val="none"/>
                <w:lang w:bidi="ar"/>
              </w:rPr>
              <w:t>广州港南沙港区粮食及通用码头扩建工程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kern w:val="0"/>
                <w:sz w:val="24"/>
                <w:szCs w:val="24"/>
                <w:highlight w:val="none"/>
                <w:lang w:bidi="ar"/>
              </w:rPr>
              <w:t>广州港股份有限公司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kern w:val="0"/>
                <w:sz w:val="24"/>
                <w:szCs w:val="24"/>
                <w:highlight w:val="none"/>
                <w:lang w:bidi="ar"/>
              </w:rPr>
              <w:t>广州市港务局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cs="仿宋_GB2312"/>
                <w:color w:val="auto"/>
                <w:sz w:val="24"/>
                <w:szCs w:val="24"/>
                <w:highlight w:val="none"/>
              </w:rPr>
            </w:pPr>
          </w:p>
        </w:tc>
      </w:tr>
      <w:tr>
        <w:tblPrEx>
          <w:tblCellMar>
            <w:top w:w="15" w:type="dxa"/>
            <w:left w:w="15" w:type="dxa"/>
            <w:bottom w:w="15" w:type="dxa"/>
            <w:right w:w="15" w:type="dxa"/>
          </w:tblCellMar>
        </w:tblPrEx>
        <w:trPr>
          <w:trHeight w:val="90"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cs="仿宋_GB2312"/>
                <w:color w:val="auto"/>
                <w:sz w:val="24"/>
                <w:szCs w:val="24"/>
                <w:highlight w:val="none"/>
              </w:rPr>
            </w:pPr>
            <w:r>
              <w:rPr>
                <w:rFonts w:hint="eastAsia" w:ascii="仿宋_GB2312" w:hAnsi="仿宋_GB2312" w:cs="仿宋_GB2312"/>
                <w:color w:val="auto"/>
                <w:kern w:val="0"/>
                <w:sz w:val="24"/>
                <w:szCs w:val="24"/>
                <w:highlight w:val="none"/>
                <w:lang w:bidi="ar"/>
              </w:rPr>
              <w:t>5</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广州LNG应急调峰气源站配套码头工程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color w:val="auto"/>
                <w:sz w:val="24"/>
                <w:szCs w:val="24"/>
                <w:highlight w:val="none"/>
              </w:rPr>
              <w:t>粤海（番禺）石油化工储运开发有限公司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广州市港务局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04"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cs="仿宋_GB2312"/>
                <w:color w:val="auto"/>
                <w:sz w:val="24"/>
                <w:szCs w:val="24"/>
                <w:highlight w:val="none"/>
              </w:rPr>
            </w:pPr>
            <w:r>
              <w:rPr>
                <w:rFonts w:hint="eastAsia" w:ascii="仿宋_GB2312" w:hAnsi="仿宋_GB2312" w:cs="仿宋_GB2312"/>
                <w:color w:val="auto"/>
                <w:kern w:val="0"/>
                <w:sz w:val="24"/>
                <w:szCs w:val="24"/>
                <w:highlight w:val="none"/>
                <w:lang w:bidi="ar"/>
              </w:rPr>
              <w:t>6</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sz w:val="24"/>
                <w:szCs w:val="24"/>
                <w:highlight w:val="none"/>
              </w:rPr>
            </w:pPr>
            <w:r>
              <w:rPr>
                <w:rFonts w:hint="eastAsia" w:ascii="仿宋_GB2312" w:hAnsi="仿宋_GB2312" w:cs="仿宋_GB2312"/>
                <w:color w:val="auto"/>
                <w:kern w:val="0"/>
                <w:sz w:val="24"/>
                <w:szCs w:val="24"/>
                <w:highlight w:val="none"/>
                <w:lang w:bidi="ar"/>
              </w:rPr>
              <w:t>广州港环大虎岛公用航道工程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sz w:val="24"/>
                <w:szCs w:val="24"/>
                <w:highlight w:val="none"/>
              </w:rPr>
            </w:pPr>
            <w:r>
              <w:rPr>
                <w:rFonts w:hint="eastAsia" w:ascii="仿宋_GB2312" w:hAnsi="仿宋_GB2312" w:cs="仿宋_GB2312"/>
                <w:color w:val="auto"/>
                <w:kern w:val="0"/>
                <w:sz w:val="24"/>
                <w:szCs w:val="24"/>
                <w:highlight w:val="none"/>
                <w:lang w:bidi="ar"/>
              </w:rPr>
              <w:t>广州市港务局</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sz w:val="24"/>
                <w:szCs w:val="24"/>
                <w:highlight w:val="none"/>
              </w:rPr>
            </w:pPr>
            <w:r>
              <w:rPr>
                <w:rFonts w:hint="eastAsia" w:ascii="仿宋_GB2312" w:hAnsi="仿宋_GB2312" w:cs="仿宋_GB2312"/>
                <w:color w:val="auto"/>
                <w:kern w:val="0"/>
                <w:sz w:val="24"/>
                <w:szCs w:val="24"/>
                <w:highlight w:val="none"/>
                <w:lang w:bidi="ar"/>
              </w:rPr>
              <w:t>广州市港务局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cs="仿宋_GB2312"/>
                <w:color w:val="auto"/>
                <w:sz w:val="24"/>
                <w:szCs w:val="24"/>
                <w:highlight w:val="none"/>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cs="仿宋_GB2312"/>
                <w:color w:val="auto"/>
                <w:sz w:val="24"/>
                <w:szCs w:val="24"/>
                <w:highlight w:val="none"/>
              </w:rPr>
            </w:pPr>
            <w:r>
              <w:rPr>
                <w:rFonts w:hint="eastAsia" w:ascii="仿宋_GB2312" w:hAnsi="仿宋_GB2312" w:cs="仿宋_GB2312"/>
                <w:color w:val="auto"/>
                <w:kern w:val="0"/>
                <w:sz w:val="24"/>
                <w:szCs w:val="24"/>
                <w:highlight w:val="none"/>
                <w:lang w:bidi="ar"/>
              </w:rPr>
              <w:t>7</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广州港桂山锚地（18GSA）扩建工程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广州市港务局</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广州市港务局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kern w:val="0"/>
                <w:sz w:val="24"/>
                <w:szCs w:val="24"/>
                <w:highlight w:val="none"/>
                <w:lang w:bidi="ar"/>
              </w:rPr>
              <w:t>8</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广州港南沙港区国际通用码头工程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广州港股份有限公司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广州市港务局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仅评设计、咨询</w:t>
            </w: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sz w:val="24"/>
                <w:szCs w:val="24"/>
                <w:highlight w:val="none"/>
              </w:rPr>
              <w:t>9</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广州港南沙港区龙穴岛中部挖入式港池口门外航道疏浚工程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广州港股份有限公司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广州市港务局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10</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深圳港盐田港区东作业区集装箱码头工程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盐田港东区国际集装箱码头有限公司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深圳市交通运输局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仅评设计、咨询</w:t>
            </w: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kern w:val="0"/>
                <w:sz w:val="24"/>
                <w:szCs w:val="24"/>
                <w:highlight w:val="none"/>
                <w:lang w:bidi="ar"/>
              </w:rPr>
              <w:t>10</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珠海三角岛码头工程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sz w:val="24"/>
                <w:szCs w:val="24"/>
                <w:highlight w:val="none"/>
              </w:rPr>
              <w:t>珠海九控蓝色海洋旅游发展有限公司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珠海市交通运输局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sz w:val="24"/>
                <w:szCs w:val="24"/>
                <w:highlight w:val="none"/>
                <w:lang w:val="en-US" w:eastAsia="zh-CN"/>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kern w:val="0"/>
                <w:sz w:val="24"/>
                <w:szCs w:val="24"/>
                <w:highlight w:val="none"/>
                <w:lang w:bidi="ar"/>
              </w:rPr>
              <w:t>11</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rPr>
              <w:t>香</w:t>
            </w:r>
            <w:r>
              <w:rPr>
                <w:rFonts w:hint="eastAsia" w:ascii="仿宋_GB2312" w:hAnsi="仿宋_GB2312" w:cs="仿宋_GB2312"/>
                <w:color w:val="auto"/>
                <w:sz w:val="24"/>
                <w:szCs w:val="24"/>
                <w:highlight w:val="none"/>
                <w:lang w:bidi="ar"/>
              </w:rPr>
              <w:t>洲港客运码头工程（改扩</w:t>
            </w:r>
            <w:r>
              <w:rPr>
                <w:rFonts w:hint="eastAsia" w:ascii="仿宋_GB2312" w:hAnsi="仿宋_GB2312" w:cs="仿宋_GB2312"/>
                <w:color w:val="auto"/>
                <w:sz w:val="24"/>
                <w:szCs w:val="24"/>
                <w:highlight w:val="none"/>
              </w:rPr>
              <w:t>建）</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rPr>
              <w:t>广东万山投资有限公司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珠海市交通运输局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cs="仿宋_GB2312"/>
                <w:color w:val="auto"/>
                <w:sz w:val="24"/>
                <w:szCs w:val="24"/>
                <w:highlight w:val="none"/>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kern w:val="0"/>
                <w:sz w:val="24"/>
                <w:szCs w:val="24"/>
                <w:highlight w:val="none"/>
                <w:lang w:bidi="ar"/>
              </w:rPr>
              <w:t>12</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rPr>
              <w:t>珠海港万山港区东澳岛客货运码头防波堤工程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sz w:val="24"/>
                <w:szCs w:val="24"/>
                <w:highlight w:val="none"/>
              </w:rPr>
              <w:t>广东万山投资有限公司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珠海市交通运输局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cs="仿宋_GB2312"/>
                <w:color w:val="auto"/>
                <w:sz w:val="24"/>
                <w:szCs w:val="24"/>
                <w:highlight w:val="none"/>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13</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rPr>
              <w:t>珠海港万山港区外伶仃岛石涌湾陆岛交通客货运码头防波堤工程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rPr>
              <w:t>广东万山投资有限公司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珠海市交通运输局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default" w:ascii="仿宋_GB2312" w:hAnsi="仿宋_GB2312" w:eastAsia="仿宋_GB2312" w:cs="仿宋_GB2312"/>
                <w:color w:val="auto"/>
                <w:sz w:val="24"/>
                <w:szCs w:val="24"/>
                <w:highlight w:val="none"/>
                <w:lang w:val="en-US" w:eastAsia="zh-CN"/>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kern w:val="0"/>
                <w:sz w:val="24"/>
                <w:szCs w:val="24"/>
                <w:highlight w:val="none"/>
                <w:lang w:bidi="ar"/>
              </w:rPr>
              <w:t>13</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广东华电丰盛汕头电厂“上大压小”新建项目配套码头</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汕头华电发电有限公司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汕头市交通运输局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kern w:val="0"/>
                <w:sz w:val="24"/>
                <w:szCs w:val="24"/>
                <w:highlight w:val="none"/>
                <w:lang w:bidi="ar"/>
              </w:rPr>
              <w:t>14</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佛山港高明港区高荷码头工程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广东佛山高荷港码头有限公司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佛山市交通运输局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sz w:val="24"/>
                <w:szCs w:val="24"/>
                <w:highlight w:val="none"/>
              </w:rPr>
              <w:t>15</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佛山港了哥山港区本港作业区码头二期工程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广东顺控临港开发建设有限公司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佛山市交通运输局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仅评设计、咨询</w:t>
            </w: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16</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韶关港乌石综合交通枢纽一期工程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广东韶关港有限公司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韶关市交通运输局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cs="仿宋_GB2312"/>
                <w:color w:val="auto"/>
                <w:sz w:val="24"/>
                <w:szCs w:val="24"/>
                <w:highlight w:val="none"/>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17</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韶关港白土港区一期工程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韶关市北江国际港务有限公司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韶关市交通运输局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cs="仿宋_GB2312"/>
                <w:color w:val="auto"/>
                <w:sz w:val="24"/>
                <w:szCs w:val="24"/>
                <w:highlight w:val="none"/>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18</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惠州港东马港区重件码头项目</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埃克森美孚（惠州）化工有限公司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惠州市交通运输局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cs="仿宋_GB2312"/>
                <w:color w:val="auto"/>
                <w:sz w:val="24"/>
                <w:szCs w:val="24"/>
                <w:highlight w:val="none"/>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19</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惠州港荃湾港区荃美石化码头项目</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惠州荃美石化码头有限公司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惠州市交通运输局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cs="仿宋_GB2312"/>
                <w:color w:val="auto"/>
                <w:sz w:val="24"/>
                <w:szCs w:val="24"/>
                <w:highlight w:val="none"/>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cs="仿宋_GB2312"/>
                <w:color w:val="auto"/>
                <w:sz w:val="24"/>
                <w:szCs w:val="24"/>
                <w:highlight w:val="none"/>
              </w:rPr>
            </w:pPr>
            <w:r>
              <w:rPr>
                <w:rFonts w:hint="eastAsia" w:ascii="仿宋_GB2312" w:hAnsi="仿宋_GB2312" w:cs="仿宋_GB2312"/>
                <w:color w:val="auto"/>
                <w:kern w:val="0"/>
                <w:sz w:val="24"/>
                <w:szCs w:val="24"/>
                <w:highlight w:val="none"/>
                <w:lang w:bidi="ar"/>
              </w:rPr>
              <w:t>20</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惠州港东马港区恒力石化（惠州）有限公司通用码头</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恒力石化（惠州）有限公司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惠州市交通运输局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cs="仿宋_GB2312"/>
                <w:color w:val="auto"/>
                <w:sz w:val="24"/>
                <w:szCs w:val="24"/>
                <w:highlight w:val="none"/>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21</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惠州港东马港区欧德油储公用石化码头扩建工程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惠州大亚湾欧德油储公用石化码头有限公司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惠州市交通运输局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cs="仿宋_GB2312"/>
                <w:color w:val="auto"/>
                <w:sz w:val="24"/>
                <w:szCs w:val="24"/>
                <w:highlight w:val="none"/>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22</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惠州港东马港区东联作业区中海壳牌南海石化码头扩建工程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中海壳牌石油化工有限公司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惠州市交通运输局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cs="仿宋_GB2312"/>
                <w:color w:val="auto"/>
                <w:sz w:val="24"/>
                <w:szCs w:val="24"/>
                <w:highlight w:val="none"/>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23</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惠州港惠东港区LNG码头工程项目</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广东惠州液化天然气有限公司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惠州市交通运输局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cs="仿宋_GB2312"/>
                <w:color w:val="auto"/>
                <w:sz w:val="24"/>
                <w:szCs w:val="24"/>
                <w:highlight w:val="none"/>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24</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惠州港荃湾港区5万吨级液化烃码头</w:t>
            </w:r>
            <w:r>
              <w:rPr>
                <w:rFonts w:hint="eastAsia" w:ascii="仿宋_GB2312" w:hAnsi="仿宋_GB2312" w:cs="仿宋_GB2312"/>
                <w:color w:val="auto"/>
                <w:kern w:val="0"/>
                <w:sz w:val="24"/>
                <w:szCs w:val="24"/>
                <w:highlight w:val="none"/>
                <w:lang w:val="en-US" w:eastAsia="zh-CN" w:bidi="ar"/>
              </w:rPr>
              <w:t>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惠州港能源码头投资有限公司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惠州市交通运输局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仅评设计、咨询</w:t>
            </w: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25</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kern w:val="0"/>
                <w:sz w:val="24"/>
                <w:szCs w:val="24"/>
                <w:highlight w:val="none"/>
                <w:lang w:bidi="ar"/>
              </w:rPr>
              <w:t>惠州港荃湾港区进港航道等级提升工程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kern w:val="0"/>
                <w:sz w:val="24"/>
                <w:szCs w:val="24"/>
                <w:highlight w:val="none"/>
                <w:lang w:bidi="ar"/>
              </w:rPr>
            </w:pPr>
            <w:r>
              <w:rPr>
                <w:rFonts w:hint="eastAsia" w:ascii="仿宋_GB2312" w:eastAsia="仿宋_GB2312"/>
                <w:color w:val="auto"/>
                <w:sz w:val="24"/>
                <w:highlight w:val="none"/>
                <w:lang w:val="en-US" w:eastAsia="zh-CN"/>
              </w:rPr>
              <w:t>惠州市港口航空铁路事务中心</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kern w:val="0"/>
                <w:sz w:val="24"/>
                <w:szCs w:val="24"/>
                <w:highlight w:val="none"/>
                <w:lang w:bidi="ar"/>
              </w:rPr>
              <w:t>惠州市交通运输局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仅评设计、咨询，更新名称</w:t>
            </w: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26</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kern w:val="0"/>
                <w:sz w:val="24"/>
                <w:szCs w:val="24"/>
                <w:highlight w:val="none"/>
                <w:lang w:bidi="ar"/>
              </w:rPr>
              <w:t>惠州港东联作业区进港航道扩建工程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惠州市港口航空铁路事务中心</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kern w:val="0"/>
                <w:sz w:val="24"/>
                <w:szCs w:val="24"/>
                <w:highlight w:val="none"/>
                <w:lang w:bidi="ar"/>
              </w:rPr>
              <w:t>惠州市交通运输局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仅评设计、咨询</w:t>
            </w:r>
          </w:p>
        </w:tc>
      </w:tr>
      <w:tr>
        <w:tblPrEx>
          <w:tblCellMar>
            <w:top w:w="15" w:type="dxa"/>
            <w:left w:w="15" w:type="dxa"/>
            <w:bottom w:w="15" w:type="dxa"/>
            <w:right w:w="15" w:type="dxa"/>
          </w:tblCellMar>
        </w:tblPrEx>
        <w:trPr>
          <w:trHeight w:val="702"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27</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东莞港沙田港区立沙岛作业区宏川石化码头工程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东莞市宏川化工仓储有限公司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东莞市交通运输局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3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28</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东莞港沙田港区四期工程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东莞市虎门港海运集装箱码头有限公司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东莞市交通运输局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仅评设计、咨询</w:t>
            </w:r>
          </w:p>
        </w:tc>
      </w:tr>
      <w:tr>
        <w:tblPrEx>
          <w:tblCellMar>
            <w:top w:w="15" w:type="dxa"/>
            <w:left w:w="15" w:type="dxa"/>
            <w:bottom w:w="15" w:type="dxa"/>
            <w:right w:w="15" w:type="dxa"/>
          </w:tblCellMar>
        </w:tblPrEx>
        <w:trPr>
          <w:trHeight w:val="630"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29</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广东狮子洋游艇俱乐部码头工程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广东狮子洋游艇俱乐部有限公司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东莞市交通运输局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仅评</w:t>
            </w:r>
          </w:p>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设计</w:t>
            </w:r>
          </w:p>
        </w:tc>
      </w:tr>
      <w:tr>
        <w:tblPrEx>
          <w:tblCellMar>
            <w:top w:w="15" w:type="dxa"/>
            <w:left w:w="15" w:type="dxa"/>
            <w:bottom w:w="15" w:type="dxa"/>
            <w:right w:w="15" w:type="dxa"/>
          </w:tblCellMar>
        </w:tblPrEx>
        <w:trPr>
          <w:trHeight w:val="630"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30</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kern w:val="0"/>
                <w:sz w:val="24"/>
                <w:szCs w:val="24"/>
                <w:highlight w:val="none"/>
                <w:lang w:bidi="ar"/>
              </w:rPr>
              <w:t>江门港鹤山港区东古码头扩建工程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kern w:val="0"/>
                <w:sz w:val="24"/>
                <w:szCs w:val="24"/>
                <w:highlight w:val="none"/>
                <w:lang w:bidi="ar"/>
              </w:rPr>
              <w:t>鹤山市东古酱油有限公司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江门市交通运输局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cs="仿宋_GB2312"/>
                <w:color w:val="auto"/>
                <w:sz w:val="24"/>
                <w:szCs w:val="24"/>
                <w:highlight w:val="none"/>
                <w:lang w:val="en-US" w:eastAsia="zh-CN"/>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31</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江门市</w:t>
            </w:r>
            <w:r>
              <w:rPr>
                <w:rFonts w:hint="eastAsia" w:ascii="仿宋_GB2312" w:hAnsi="仿宋_GB2312" w:cs="仿宋_GB2312"/>
                <w:color w:val="auto"/>
                <w:kern w:val="0"/>
                <w:sz w:val="24"/>
                <w:szCs w:val="24"/>
                <w:highlight w:val="none"/>
                <w:lang w:bidi="ar"/>
              </w:rPr>
              <w:t>三埠港搬迁项目（开平市三埠港区工程）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开平市工投货运码头有限公司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江门市交通运输局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仅评设计、咨询</w:t>
            </w: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32</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阳江港海陵湾港区吉树作业区#13和#14泊位工程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阳江港广泰隆码头有限公司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33</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阳江港海陵湾港区吉树作业区#J3-#J6泊位工程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阳江市富恒渔业发展有限公司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90"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34</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阳江港吉树作业区#J9</w:t>
            </w:r>
            <w:r>
              <w:rPr>
                <w:rFonts w:hint="eastAsia" w:ascii="仿宋_GB2312" w:hAnsi="仿宋_GB2312" w:cs="仿宋_GB2312"/>
                <w:color w:val="auto"/>
                <w:kern w:val="0"/>
                <w:sz w:val="24"/>
                <w:szCs w:val="24"/>
                <w:highlight w:val="none"/>
                <w:lang w:bidi="ar"/>
              </w:rPr>
              <w:t>～</w:t>
            </w:r>
            <w:r>
              <w:rPr>
                <w:rFonts w:hint="eastAsia" w:ascii="仿宋_GB2312" w:hAnsi="仿宋_GB2312" w:eastAsia="仿宋_GB2312" w:cs="仿宋_GB2312"/>
                <w:color w:val="auto"/>
                <w:kern w:val="0"/>
                <w:sz w:val="24"/>
                <w:szCs w:val="24"/>
                <w:highlight w:val="none"/>
                <w:lang w:val="en-US" w:eastAsia="zh-CN" w:bidi="ar"/>
              </w:rPr>
              <w:t>#J10泊位码头工程项目</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阳江市宏航港务有限公司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default"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35</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阳江港吉树作业区#J11～#J12泊位码头工程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阳江市新航港务有限公司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36</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阳江港吉树作业区#J13～#J14泊位码头工程项目</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阳江市伟航港务有限公司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37</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阳江LNG调峰储气库项目配套码头工程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广东阳江海陵湾液化天然气有限责任公司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38</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广东华厦阳西电厂配套码头扩建工程项目</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阳西海滨电力发展有限公司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39</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阳江港吉树作业区#J15～#J16泊位码头工程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阳江市胜航港务有限公司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40</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阳江港海陵湾港区吉树作业区5#-7#通用泊位码头工程项目</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广东阳江港港务股份有限公司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41</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阳江港吉树作业区#J9～#J16码头二期工程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阳江市交投港务有限公司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仅评设计、咨询</w:t>
            </w: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42</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阳江港海陵湾港区丰头作业区 F1#～F2#泊位工程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阳江市丰头港港务有限公司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仅评设计、咨询</w:t>
            </w: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43</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中科合资广东炼化一体化项目液化烃码头工程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中科（广东）炼化有限公司公司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湛江市交通运输局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44</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湛江港东海岛港区杂货码头工程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湛江港（集团）股份有限公司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湛江市交通运输局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90"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45</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巴斯夫（广东）一体化项目大件码头工程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巴斯夫一体化基地（广东）有限公司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湛江市交通运输局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46</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巴斯夫（广东）一体化项目液体散货码头</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巴斯夫一体化基地（广东）有限公司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湛江市交通运输局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仅评设计、咨询</w:t>
            </w: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47</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招商湛江国际邮轮码头工程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湛江招商港城投资有限公司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湛江市交通运输局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72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48</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湛江港</w:t>
            </w:r>
            <w:r>
              <w:rPr>
                <w:rFonts w:hint="eastAsia" w:ascii="仿宋_GB2312" w:hAnsi="仿宋_GB2312" w:cs="仿宋_GB2312"/>
                <w:color w:val="auto"/>
                <w:kern w:val="0"/>
                <w:sz w:val="24"/>
                <w:szCs w:val="24"/>
                <w:highlight w:val="none"/>
                <w:lang w:val="en-US" w:eastAsia="zh-CN" w:bidi="ar"/>
              </w:rPr>
              <w:t>东海岛港区</w:t>
            </w:r>
            <w:r>
              <w:rPr>
                <w:rFonts w:hint="eastAsia" w:ascii="仿宋_GB2312" w:hAnsi="仿宋_GB2312" w:cs="仿宋_GB2312"/>
                <w:color w:val="auto"/>
                <w:kern w:val="0"/>
                <w:sz w:val="24"/>
                <w:szCs w:val="24"/>
                <w:highlight w:val="none"/>
                <w:lang w:bidi="ar"/>
              </w:rPr>
              <w:t>航道工程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湛江经开区交通运输局</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1"/>
                <w:szCs w:val="21"/>
                <w:highlight w:val="none"/>
                <w:lang w:bidi="ar"/>
              </w:rPr>
              <w:t>湛江市交通运输局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49</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湛江京信东海电厂配套专用码头工程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湛江京信发电有限公司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湛江市交通运输局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50</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湛江港拆装箱一期工程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湛江港（集团）股份有限公司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湛江市交通运输局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2"/>
                <w:sz w:val="24"/>
                <w:szCs w:val="24"/>
                <w:highlight w:val="none"/>
                <w:lang w:val="en-US" w:eastAsia="zh-CN" w:bidi="ar-SA"/>
              </w:rPr>
              <w:t>新增项目</w:t>
            </w: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51</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茂名港博贺新港区东区油品码头工程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茂名石化博贺港储运有限公司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52</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茂名港博贺新港区东区化工码头工程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茂名港长兴石化储运有限公司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茂名市交通运输局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53</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茂名港博贺新港区30万吨级航道工程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茂名博贺新港区建设指挥部办公室</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2"/>
                <w:sz w:val="24"/>
                <w:szCs w:val="24"/>
                <w:highlight w:val="none"/>
                <w:lang w:val="en-US" w:eastAsia="zh-CN" w:bidi="ar-SA"/>
              </w:rPr>
              <w:t>标段二不参评</w:t>
            </w:r>
          </w:p>
        </w:tc>
      </w:tr>
      <w:tr>
        <w:tblPrEx>
          <w:tblCellMar>
            <w:top w:w="15" w:type="dxa"/>
            <w:left w:w="15" w:type="dxa"/>
            <w:bottom w:w="15" w:type="dxa"/>
            <w:right w:w="15" w:type="dxa"/>
          </w:tblCellMar>
        </w:tblPrEx>
        <w:trPr>
          <w:trHeight w:val="90"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54</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茂名港吉达港区防波堤一期工程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茂名博贺新港区建设指挥部办公室</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55</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茂名港吉达港区东作业区进港航道工程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茂名博贺新港区建设指挥部办公室</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56</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茂名港吉达港区东二港池1#、2#液体散货泊位工程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东华能源（茂名）有限公司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57</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茂名港博贺新港区昌利石化仓储基地码头项目</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茂名市昌利码头有限公司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茂名市交通运输局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58</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茂名港博贺新港区利丰散货码头工程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茂名利丰码头有限公司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cs="仿宋_GB2312"/>
                <w:color w:val="auto"/>
                <w:kern w:val="2"/>
                <w:sz w:val="24"/>
                <w:szCs w:val="24"/>
                <w:highlight w:val="none"/>
                <w:lang w:val="en-US" w:eastAsia="zh-CN" w:bidi="ar-SA"/>
              </w:rPr>
            </w:pPr>
            <w:r>
              <w:rPr>
                <w:rFonts w:hint="eastAsia" w:ascii="仿宋_GB2312" w:hAnsi="仿宋_GB2312" w:cs="仿宋_GB2312"/>
                <w:color w:val="auto"/>
                <w:kern w:val="2"/>
                <w:sz w:val="24"/>
                <w:szCs w:val="24"/>
                <w:highlight w:val="none"/>
                <w:lang w:val="en-US" w:eastAsia="zh-CN" w:bidi="ar-SA"/>
              </w:rPr>
              <w:t>仅评</w:t>
            </w:r>
          </w:p>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2"/>
                <w:sz w:val="24"/>
                <w:szCs w:val="24"/>
                <w:highlight w:val="none"/>
                <w:lang w:val="en-US" w:eastAsia="zh-CN" w:bidi="ar-SA"/>
              </w:rPr>
              <w:t>设计</w:t>
            </w: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59</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茂名港博贺新港区30万吨级原油码头</w:t>
            </w:r>
            <w:r>
              <w:rPr>
                <w:rFonts w:hint="eastAsia" w:ascii="仿宋_GB2312" w:hAnsi="仿宋_GB2312" w:cs="仿宋_GB2312"/>
                <w:color w:val="auto"/>
                <w:kern w:val="0"/>
                <w:sz w:val="24"/>
                <w:szCs w:val="24"/>
                <w:highlight w:val="none"/>
                <w:lang w:val="en-US" w:eastAsia="zh-CN" w:bidi="ar"/>
              </w:rPr>
              <w:t>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茂名石化博贺港储运有限公司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仅评设计、咨询</w:t>
            </w: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60</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茂名港博贺新港区通用码头工程（二阶段）</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茂名广港码头有限公司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cs="仿宋_GB2312"/>
                <w:color w:val="auto"/>
                <w:kern w:val="2"/>
                <w:sz w:val="24"/>
                <w:szCs w:val="24"/>
                <w:highlight w:val="none"/>
                <w:lang w:val="en-US" w:eastAsia="zh-CN" w:bidi="ar-SA"/>
              </w:rPr>
            </w:pPr>
            <w:r>
              <w:rPr>
                <w:rFonts w:hint="eastAsia" w:ascii="仿宋_GB2312" w:hAnsi="仿宋_GB2312" w:cs="仿宋_GB2312"/>
                <w:color w:val="auto"/>
                <w:kern w:val="2"/>
                <w:sz w:val="24"/>
                <w:szCs w:val="24"/>
                <w:highlight w:val="none"/>
                <w:lang w:val="en-US" w:eastAsia="zh-CN" w:bidi="ar-SA"/>
              </w:rPr>
              <w:t>仅评</w:t>
            </w:r>
          </w:p>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2"/>
                <w:sz w:val="24"/>
                <w:szCs w:val="24"/>
                <w:highlight w:val="none"/>
                <w:lang w:val="en-US" w:eastAsia="zh-CN" w:bidi="ar-SA"/>
              </w:rPr>
              <w:t>设计</w:t>
            </w: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61</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肇庆港封开港区长岗作业区公用综合码头（一期工程）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肇庆交投广信港务有限公司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肇庆</w:t>
            </w:r>
            <w:r>
              <w:rPr>
                <w:rFonts w:hint="eastAsia" w:ascii="仿宋_GB2312" w:hAnsi="仿宋_GB2312" w:cs="仿宋_GB2312"/>
                <w:color w:val="auto"/>
                <w:kern w:val="0"/>
                <w:sz w:val="24"/>
                <w:szCs w:val="24"/>
                <w:highlight w:val="none"/>
                <w:lang w:bidi="ar"/>
              </w:rPr>
              <w:t>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仅评设计、咨询</w:t>
            </w:r>
          </w:p>
        </w:tc>
      </w:tr>
      <w:tr>
        <w:tblPrEx>
          <w:tblCellMar>
            <w:top w:w="15" w:type="dxa"/>
            <w:left w:w="15" w:type="dxa"/>
            <w:bottom w:w="15" w:type="dxa"/>
            <w:right w:w="15" w:type="dxa"/>
          </w:tblCellMar>
        </w:tblPrEx>
        <w:trPr>
          <w:trHeight w:val="668"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62</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肇庆港德庆港区九市作业区码头工程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肇庆交投康城港务有限公司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肇庆</w:t>
            </w:r>
            <w:r>
              <w:rPr>
                <w:rFonts w:hint="eastAsia" w:ascii="仿宋_GB2312" w:hAnsi="仿宋_GB2312" w:cs="仿宋_GB2312"/>
                <w:color w:val="auto"/>
                <w:kern w:val="0"/>
                <w:sz w:val="24"/>
                <w:szCs w:val="24"/>
                <w:highlight w:val="none"/>
                <w:lang w:bidi="ar"/>
              </w:rPr>
              <w:t>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仅评设计、咨询</w:t>
            </w: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63</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肇庆港德庆港区悦城通用码头工程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肇庆交投康城港务有限公司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肇庆</w:t>
            </w:r>
            <w:r>
              <w:rPr>
                <w:rFonts w:hint="eastAsia" w:ascii="仿宋_GB2312" w:hAnsi="仿宋_GB2312" w:cs="仿宋_GB2312"/>
                <w:color w:val="auto"/>
                <w:kern w:val="0"/>
                <w:sz w:val="24"/>
                <w:szCs w:val="24"/>
                <w:highlight w:val="none"/>
                <w:lang w:bidi="ar"/>
              </w:rPr>
              <w:t>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仅评设计、咨询</w:t>
            </w: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64</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肇庆港新港港区新基湾作业区码头工程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肇庆交投砚阳港务有限公司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肇庆</w:t>
            </w:r>
            <w:r>
              <w:rPr>
                <w:rFonts w:hint="eastAsia" w:ascii="仿宋_GB2312" w:hAnsi="仿宋_GB2312" w:cs="仿宋_GB2312"/>
                <w:color w:val="auto"/>
                <w:kern w:val="0"/>
                <w:sz w:val="24"/>
                <w:szCs w:val="24"/>
                <w:highlight w:val="none"/>
                <w:lang w:bidi="ar"/>
              </w:rPr>
              <w:t>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仅评设计、咨询</w:t>
            </w: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65</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清远港飞来峡作业区共用码头一期工程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清</w:t>
            </w:r>
            <w:r>
              <w:rPr>
                <w:rFonts w:hint="eastAsia" w:ascii="仿宋_GB2312" w:hAnsi="仿宋_GB2312" w:cs="仿宋_GB2312"/>
                <w:color w:val="auto"/>
                <w:kern w:val="0"/>
                <w:sz w:val="24"/>
                <w:szCs w:val="24"/>
                <w:highlight w:val="none"/>
                <w:lang w:bidi="ar"/>
              </w:rPr>
              <w:t>远港飞来峡港务有限公司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清远市交通运输局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仅评设计、咨询</w:t>
            </w: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cs="仿宋_GB2312"/>
                <w:color w:val="auto"/>
                <w:kern w:val="0"/>
                <w:sz w:val="24"/>
                <w:szCs w:val="24"/>
                <w:highlight w:val="none"/>
                <w:lang w:val="en-US" w:eastAsia="zh-CN" w:bidi="ar"/>
              </w:rPr>
              <w:t>66</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潮州华瀛液化天然气接收站项目配套码头工程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潮州华瀛天然气股份有限公司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潮州市交通运输局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67</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潮州港金狮湾港区华丰中天液化石油气码头升级改造工程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广东华丰中天液化天然气有限公司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潮州市交通运输局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68</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潮州港金狮湾港区潮州亚太燃油仓储有限公司公共通用码头配送基地项目工程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潮州亚太燃油仓储有限公司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潮州市交通运输局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i/>
                <w:iCs/>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90"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69</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kern w:val="0"/>
                <w:sz w:val="24"/>
                <w:szCs w:val="24"/>
                <w:highlight w:val="none"/>
                <w:lang w:bidi="ar"/>
              </w:rPr>
              <w:t>中委合资广东石化2000万</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吨/年重油加工工程配套码头工程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中国石油广东石化公司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揭阳市交通运输局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70</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揭阳大南海东岸公共码头防波堤工程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揭阳大南海石化工业区管理委员</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揭阳市交通运输局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71</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揭阳港大南海东岸公共进港航道工程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揭阳大南海石化工业区管理委员</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揭阳市交通运输局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72</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揭阳港前詹作业区通用码头一期工程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中电投前詹港电有限公司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揭阳市交通运输局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73</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揭阳港惠来沿海港区南海作业区通用码头工程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揭阳市大南海港务有限公司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揭阳市交通运输局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仅评设计、咨询</w:t>
            </w: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74</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云浮港都杨港区华润西江发电厂项目配套码头工程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华润电力（云浮）有限公司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云浮市交通运输局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75</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云浮港都骑通用码头工程（二期工程）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云浮市港盛港务有限公司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云浮市交通运输局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76</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云浮港六都港区黄湾作业区行达通用码头一期工程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云浮市行达装运有限公司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云浮市交通运输局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77</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云浮港南江口港区水瓜口作业区鸿业码头工程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广东鸿业港务有限公司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云浮市交通运输局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仅评设计、咨询</w:t>
            </w: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78</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北江（曲江乌石至三水河口）航道扩能升级工程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广东省北江航道开发投资有限公司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省航道事务中心</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79</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广东省航道支持保障系统工程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省航道事务中心</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省航道事务中心</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80</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崖门出海航道二期工程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省江门航道事务中心</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省航道事务中心</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kern w:val="0"/>
                <w:sz w:val="24"/>
                <w:szCs w:val="24"/>
                <w:highlight w:val="none"/>
                <w:lang w:val="en-US" w:eastAsia="zh-CN" w:bidi="ar"/>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81</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矾石水道航道一期工程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省深圳航道事务中心</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省航道事务中心</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kern w:val="0"/>
                <w:sz w:val="24"/>
                <w:szCs w:val="24"/>
                <w:highlight w:val="none"/>
                <w:lang w:val="en-US" w:eastAsia="zh-CN" w:bidi="ar"/>
              </w:rPr>
            </w:pPr>
          </w:p>
        </w:tc>
      </w:tr>
      <w:tr>
        <w:tblPrEx>
          <w:tblCellMar>
            <w:top w:w="15" w:type="dxa"/>
            <w:left w:w="15" w:type="dxa"/>
            <w:bottom w:w="15" w:type="dxa"/>
            <w:right w:w="15" w:type="dxa"/>
          </w:tblCellMar>
        </w:tblPrEx>
        <w:trPr>
          <w:trHeight w:val="812"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82</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顺德水道航道扩能升级工程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省</w:t>
            </w:r>
            <w:r>
              <w:rPr>
                <w:rFonts w:hint="eastAsia" w:ascii="仿宋_GB2312" w:hAnsi="仿宋_GB2312" w:cs="仿宋_GB2312"/>
                <w:color w:val="auto"/>
                <w:kern w:val="0"/>
                <w:sz w:val="24"/>
                <w:szCs w:val="24"/>
                <w:highlight w:val="none"/>
                <w:lang w:val="en-US" w:eastAsia="zh-CN" w:bidi="ar"/>
              </w:rPr>
              <w:t>佛山</w:t>
            </w:r>
            <w:r>
              <w:rPr>
                <w:rFonts w:hint="eastAsia" w:ascii="仿宋_GB2312" w:hAnsi="仿宋_GB2312" w:cs="仿宋_GB2312"/>
                <w:color w:val="auto"/>
                <w:kern w:val="0"/>
                <w:sz w:val="24"/>
                <w:szCs w:val="24"/>
                <w:highlight w:val="none"/>
                <w:lang w:bidi="ar"/>
              </w:rPr>
              <w:t>航道事务中心</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省航道事务中心</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sz w:val="24"/>
                <w:szCs w:val="24"/>
                <w:highlight w:val="none"/>
                <w:lang w:val="en-US" w:eastAsia="zh-CN"/>
              </w:rPr>
              <w:t>仅评设计、咨询</w:t>
            </w:r>
          </w:p>
        </w:tc>
      </w:tr>
      <w:tr>
        <w:tblPrEx>
          <w:tblCellMar>
            <w:top w:w="15" w:type="dxa"/>
            <w:left w:w="15" w:type="dxa"/>
            <w:bottom w:w="15" w:type="dxa"/>
            <w:right w:w="15" w:type="dxa"/>
          </w:tblCellMar>
        </w:tblPrEx>
        <w:trPr>
          <w:trHeight w:val="584" w:hRule="exact"/>
          <w:jc w:val="center"/>
        </w:trPr>
        <w:tc>
          <w:tcPr>
            <w:tcW w:w="9268"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default" w:ascii="仿宋_GB2312" w:hAnsi="仿宋_GB2312" w:cs="仿宋_GB2312"/>
                <w:color w:val="auto"/>
                <w:kern w:val="0"/>
                <w:sz w:val="24"/>
                <w:szCs w:val="24"/>
                <w:highlight w:val="none"/>
                <w:lang w:val="en-US" w:eastAsia="zh-CN" w:bidi="ar"/>
              </w:rPr>
            </w:pPr>
            <w:r>
              <w:rPr>
                <w:rFonts w:hint="eastAsia" w:ascii="楷体" w:hAnsi="楷体" w:eastAsia="楷体" w:cs="楷体"/>
                <w:b w:val="0"/>
                <w:bCs w:val="0"/>
                <w:color w:val="000000"/>
                <w:kern w:val="0"/>
                <w:sz w:val="28"/>
                <w:szCs w:val="28"/>
                <w:highlight w:val="none"/>
                <w:lang w:val="en-US" w:eastAsia="zh-CN"/>
              </w:rPr>
              <w:t>规划、工可研究咨询类项目</w:t>
            </w:r>
          </w:p>
        </w:tc>
      </w:tr>
      <w:tr>
        <w:tblPrEx>
          <w:tblCellMar>
            <w:top w:w="15" w:type="dxa"/>
            <w:left w:w="15" w:type="dxa"/>
            <w:bottom w:w="15" w:type="dxa"/>
            <w:right w:w="15" w:type="dxa"/>
          </w:tblCellMar>
        </w:tblPrEx>
        <w:trPr>
          <w:trHeight w:val="584" w:hRule="exac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1</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赣粤运河开发综合效益及必要性研究</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省交通运输厅</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kern w:val="0"/>
                <w:sz w:val="24"/>
                <w:szCs w:val="24"/>
                <w:highlight w:val="none"/>
                <w:lang w:val="en-US" w:eastAsia="zh-CN" w:bidi="ar"/>
              </w:rPr>
              <w:t>省交通运输厅</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cs="仿宋_GB2312"/>
                <w:color w:val="auto"/>
                <w:kern w:val="0"/>
                <w:sz w:val="24"/>
                <w:szCs w:val="24"/>
                <w:highlight w:val="none"/>
                <w:lang w:val="en-US" w:eastAsia="zh-CN" w:bidi="ar"/>
              </w:rPr>
            </w:pPr>
          </w:p>
        </w:tc>
      </w:tr>
      <w:tr>
        <w:tblPrEx>
          <w:tblCellMar>
            <w:top w:w="15" w:type="dxa"/>
            <w:left w:w="15" w:type="dxa"/>
            <w:bottom w:w="15" w:type="dxa"/>
            <w:right w:w="15" w:type="dxa"/>
          </w:tblCellMar>
        </w:tblPrEx>
        <w:trPr>
          <w:trHeight w:val="584" w:hRule="exac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2</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赣粤运河通道运输需求分析</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省交通运输厅</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省交通运输厅</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cs="仿宋_GB2312"/>
                <w:color w:val="auto"/>
                <w:kern w:val="0"/>
                <w:sz w:val="24"/>
                <w:szCs w:val="24"/>
                <w:highlight w:val="none"/>
                <w:lang w:val="en-US" w:eastAsia="zh-CN" w:bidi="ar"/>
              </w:rPr>
            </w:pPr>
          </w:p>
        </w:tc>
      </w:tr>
      <w:tr>
        <w:tblPrEx>
          <w:tblCellMar>
            <w:top w:w="15" w:type="dxa"/>
            <w:left w:w="15" w:type="dxa"/>
            <w:bottom w:w="15" w:type="dxa"/>
            <w:right w:w="15" w:type="dxa"/>
          </w:tblCellMar>
        </w:tblPrEx>
        <w:trPr>
          <w:trHeight w:val="584" w:hRule="exac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3</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赣粤运河沿线跨拦河设施调查及航运开发条件分析</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省交通运输厅</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省交通运输厅</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cs="仿宋_GB2312"/>
                <w:color w:val="auto"/>
                <w:kern w:val="0"/>
                <w:sz w:val="24"/>
                <w:szCs w:val="24"/>
                <w:highlight w:val="none"/>
                <w:lang w:val="en-US" w:eastAsia="zh-CN" w:bidi="ar"/>
              </w:rPr>
            </w:pPr>
          </w:p>
        </w:tc>
      </w:tr>
      <w:tr>
        <w:tblPrEx>
          <w:tblCellMar>
            <w:top w:w="15" w:type="dxa"/>
            <w:left w:w="15" w:type="dxa"/>
            <w:bottom w:w="15" w:type="dxa"/>
            <w:right w:w="15" w:type="dxa"/>
          </w:tblCellMar>
        </w:tblPrEx>
        <w:trPr>
          <w:trHeight w:val="584" w:hRule="exac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4</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赣粤运河开发基础资料勘测调查及影响分析</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省交通运输厅</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省交通运输厅</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cs="仿宋_GB2312"/>
                <w:color w:val="auto"/>
                <w:kern w:val="0"/>
                <w:sz w:val="24"/>
                <w:szCs w:val="24"/>
                <w:highlight w:val="none"/>
                <w:lang w:val="en-US" w:eastAsia="zh-CN" w:bidi="ar"/>
              </w:rPr>
            </w:pPr>
          </w:p>
        </w:tc>
      </w:tr>
      <w:tr>
        <w:tblPrEx>
          <w:tblCellMar>
            <w:top w:w="15" w:type="dxa"/>
            <w:left w:w="15" w:type="dxa"/>
            <w:bottom w:w="15" w:type="dxa"/>
            <w:right w:w="15" w:type="dxa"/>
          </w:tblCellMar>
        </w:tblPrEx>
        <w:trPr>
          <w:trHeight w:val="584" w:hRule="exac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5</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赣粤运河船型及营运组织和通航标准研究</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省交通运输厅</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省交通运输厅</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cs="仿宋_GB2312"/>
                <w:color w:val="auto"/>
                <w:kern w:val="0"/>
                <w:sz w:val="24"/>
                <w:szCs w:val="24"/>
                <w:highlight w:val="none"/>
                <w:lang w:val="en-US" w:eastAsia="zh-CN" w:bidi="ar"/>
              </w:rPr>
            </w:pPr>
          </w:p>
        </w:tc>
      </w:tr>
      <w:tr>
        <w:tblPrEx>
          <w:tblCellMar>
            <w:top w:w="15" w:type="dxa"/>
            <w:left w:w="15" w:type="dxa"/>
            <w:bottom w:w="15" w:type="dxa"/>
            <w:right w:w="15" w:type="dxa"/>
          </w:tblCellMar>
        </w:tblPrEx>
        <w:trPr>
          <w:trHeight w:val="584" w:hRule="exac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6</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赣粤运河线路及梯级布置方案专题研究</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省交通运输厅</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省交通运输厅</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cs="仿宋_GB2312"/>
                <w:color w:val="auto"/>
                <w:kern w:val="0"/>
                <w:sz w:val="24"/>
                <w:szCs w:val="24"/>
                <w:highlight w:val="none"/>
                <w:lang w:val="en-US" w:eastAsia="zh-CN" w:bidi="ar"/>
              </w:rPr>
            </w:pPr>
          </w:p>
        </w:tc>
      </w:tr>
      <w:tr>
        <w:tblPrEx>
          <w:tblCellMar>
            <w:top w:w="15" w:type="dxa"/>
            <w:left w:w="15" w:type="dxa"/>
            <w:bottom w:w="15" w:type="dxa"/>
            <w:right w:w="15" w:type="dxa"/>
          </w:tblCellMar>
        </w:tblPrEx>
        <w:trPr>
          <w:trHeight w:val="584" w:hRule="exac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7</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赣粤运河开发模式和运营管理研究</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省交通运输厅</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省交通运输厅</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cs="仿宋_GB2312"/>
                <w:color w:val="auto"/>
                <w:kern w:val="0"/>
                <w:sz w:val="24"/>
                <w:szCs w:val="24"/>
                <w:highlight w:val="none"/>
                <w:lang w:val="en-US" w:eastAsia="zh-CN" w:bidi="ar"/>
              </w:rPr>
            </w:pPr>
          </w:p>
        </w:tc>
      </w:tr>
      <w:tr>
        <w:tblPrEx>
          <w:tblCellMar>
            <w:top w:w="15" w:type="dxa"/>
            <w:left w:w="15" w:type="dxa"/>
            <w:bottom w:w="15" w:type="dxa"/>
            <w:right w:w="15" w:type="dxa"/>
          </w:tblCellMar>
        </w:tblPrEx>
        <w:trPr>
          <w:trHeight w:val="584" w:hRule="exac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8</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云浮港六都港区四围塘作业区支持保障系统码头规划调整方案</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kern w:val="0"/>
                <w:sz w:val="24"/>
                <w:szCs w:val="24"/>
                <w:highlight w:val="none"/>
                <w:lang w:bidi="ar"/>
              </w:rPr>
              <w:t>云浮市交通运输局</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kern w:val="0"/>
                <w:sz w:val="24"/>
                <w:szCs w:val="24"/>
                <w:highlight w:val="none"/>
                <w:lang w:bidi="ar"/>
              </w:rPr>
              <w:t>云浮市交通运输局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cs="仿宋_GB2312"/>
                <w:color w:val="auto"/>
                <w:kern w:val="0"/>
                <w:sz w:val="24"/>
                <w:szCs w:val="24"/>
                <w:highlight w:val="none"/>
                <w:lang w:val="en-US" w:eastAsia="zh-CN" w:bidi="ar"/>
              </w:rPr>
            </w:pPr>
          </w:p>
        </w:tc>
      </w:tr>
      <w:tr>
        <w:tblPrEx>
          <w:tblCellMar>
            <w:top w:w="15" w:type="dxa"/>
            <w:left w:w="15" w:type="dxa"/>
            <w:bottom w:w="15" w:type="dxa"/>
            <w:right w:w="15" w:type="dxa"/>
          </w:tblCellMar>
        </w:tblPrEx>
        <w:trPr>
          <w:trHeight w:val="584" w:hRule="exac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9</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广东省英德水上服务区工程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省北江航道事务中心</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kern w:val="0"/>
                <w:sz w:val="24"/>
                <w:szCs w:val="24"/>
                <w:highlight w:val="none"/>
                <w:lang w:val="en-US" w:eastAsia="zh-CN" w:bidi="ar"/>
              </w:rPr>
              <w:t>省航道事务中心</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cs="仿宋_GB2312"/>
                <w:color w:val="auto"/>
                <w:kern w:val="0"/>
                <w:sz w:val="24"/>
                <w:szCs w:val="24"/>
                <w:highlight w:val="none"/>
                <w:lang w:val="en-US" w:eastAsia="zh-CN" w:bidi="ar"/>
              </w:rPr>
            </w:pPr>
          </w:p>
        </w:tc>
      </w:tr>
      <w:tr>
        <w:tblPrEx>
          <w:tblCellMar>
            <w:top w:w="15" w:type="dxa"/>
            <w:left w:w="15" w:type="dxa"/>
            <w:bottom w:w="15" w:type="dxa"/>
            <w:right w:w="15" w:type="dxa"/>
          </w:tblCellMar>
        </w:tblPrEx>
        <w:trPr>
          <w:trHeight w:val="584" w:hRule="exac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10</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仿宋_GB2312" w:hAnsi="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顺德水道航道扩能升级工程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省佛山航道事务中心</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kern w:val="0"/>
                <w:sz w:val="24"/>
                <w:szCs w:val="24"/>
                <w:highlight w:val="none"/>
                <w:lang w:val="en-US" w:eastAsia="zh-CN" w:bidi="ar"/>
              </w:rPr>
              <w:t>省航道事务中心</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cs="仿宋_GB2312"/>
                <w:color w:val="auto"/>
                <w:kern w:val="0"/>
                <w:sz w:val="24"/>
                <w:szCs w:val="24"/>
                <w:highlight w:val="none"/>
                <w:lang w:val="en-US" w:eastAsia="zh-CN" w:bidi="ar"/>
              </w:rPr>
            </w:pPr>
          </w:p>
        </w:tc>
      </w:tr>
      <w:tr>
        <w:tblPrEx>
          <w:tblCellMar>
            <w:top w:w="15" w:type="dxa"/>
            <w:left w:w="15" w:type="dxa"/>
            <w:bottom w:w="15" w:type="dxa"/>
            <w:right w:w="15" w:type="dxa"/>
          </w:tblCellMar>
        </w:tblPrEx>
        <w:trPr>
          <w:trHeight w:val="584" w:hRule="exac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11</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莲沙容水道航道二期工程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省广州航道事务中心</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kern w:val="0"/>
                <w:sz w:val="24"/>
                <w:szCs w:val="24"/>
                <w:highlight w:val="none"/>
                <w:lang w:val="en-US" w:eastAsia="zh-CN" w:bidi="ar"/>
              </w:rPr>
              <w:t>省航道事务中心</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cs="仿宋_GB2312"/>
                <w:color w:val="auto"/>
                <w:kern w:val="0"/>
                <w:sz w:val="24"/>
                <w:szCs w:val="24"/>
                <w:highlight w:val="none"/>
                <w:lang w:val="en-US" w:eastAsia="zh-CN" w:bidi="ar"/>
              </w:rPr>
            </w:pPr>
          </w:p>
        </w:tc>
      </w:tr>
      <w:tr>
        <w:tblPrEx>
          <w:tblCellMar>
            <w:top w:w="15" w:type="dxa"/>
            <w:left w:w="15" w:type="dxa"/>
            <w:bottom w:w="15" w:type="dxa"/>
            <w:right w:w="15" w:type="dxa"/>
          </w:tblCellMar>
        </w:tblPrEx>
        <w:trPr>
          <w:trHeight w:val="584" w:hRule="exac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12</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仿宋_GB2312" w:hAnsi="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锦江绿色航道项目</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省韶关航道事务中心</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kern w:val="0"/>
                <w:sz w:val="24"/>
                <w:szCs w:val="24"/>
                <w:highlight w:val="none"/>
                <w:lang w:val="en-US" w:eastAsia="zh-CN" w:bidi="ar"/>
              </w:rPr>
              <w:t>省航道事务中心</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cs="仿宋_GB2312"/>
                <w:color w:val="auto"/>
                <w:kern w:val="0"/>
                <w:sz w:val="24"/>
                <w:szCs w:val="24"/>
                <w:highlight w:val="none"/>
                <w:lang w:val="en-US" w:eastAsia="zh-CN" w:bidi="ar"/>
              </w:rPr>
            </w:pPr>
          </w:p>
        </w:tc>
      </w:tr>
      <w:tr>
        <w:tblPrEx>
          <w:tblCellMar>
            <w:top w:w="15" w:type="dxa"/>
            <w:left w:w="15" w:type="dxa"/>
            <w:bottom w:w="15" w:type="dxa"/>
            <w:right w:w="15" w:type="dxa"/>
          </w:tblCellMar>
        </w:tblPrEx>
        <w:trPr>
          <w:trHeight w:val="584" w:hRule="exac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13</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揭阳港惠来沿海港区南海作业区LPG码头工程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kern w:val="0"/>
                <w:sz w:val="24"/>
                <w:szCs w:val="24"/>
                <w:highlight w:val="none"/>
                <w:lang w:bidi="ar"/>
              </w:rPr>
              <w:t>揭阳市大南海港务有限公司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揭阳市交通运输局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cs="仿宋_GB2312"/>
                <w:color w:val="auto"/>
                <w:kern w:val="0"/>
                <w:sz w:val="24"/>
                <w:szCs w:val="24"/>
                <w:highlight w:val="none"/>
                <w:lang w:val="en-US" w:eastAsia="zh-CN" w:bidi="ar"/>
              </w:rPr>
            </w:pPr>
          </w:p>
        </w:tc>
      </w:tr>
      <w:tr>
        <w:tblPrEx>
          <w:tblCellMar>
            <w:top w:w="15" w:type="dxa"/>
            <w:left w:w="15" w:type="dxa"/>
            <w:bottom w:w="15" w:type="dxa"/>
            <w:right w:w="15" w:type="dxa"/>
          </w:tblCellMar>
        </w:tblPrEx>
        <w:trPr>
          <w:trHeight w:val="584" w:hRule="exac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14</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揭阳港惠来沿海港区南海作业区液体散货码头工程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kern w:val="0"/>
                <w:sz w:val="24"/>
                <w:szCs w:val="24"/>
                <w:highlight w:val="none"/>
                <w:lang w:bidi="ar"/>
              </w:rPr>
              <w:t>揭阳市大南海港务有限公司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kern w:val="0"/>
                <w:sz w:val="24"/>
                <w:szCs w:val="24"/>
                <w:highlight w:val="none"/>
                <w:lang w:val="en-US" w:eastAsia="zh-CN" w:bidi="ar"/>
              </w:rPr>
              <w:t>揭阳市交通运输局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cs="仿宋_GB2312"/>
                <w:color w:val="auto"/>
                <w:kern w:val="0"/>
                <w:sz w:val="24"/>
                <w:szCs w:val="24"/>
                <w:highlight w:val="none"/>
                <w:lang w:val="en-US" w:eastAsia="zh-CN" w:bidi="ar"/>
              </w:rPr>
            </w:pPr>
          </w:p>
        </w:tc>
      </w:tr>
      <w:tr>
        <w:tblPrEx>
          <w:tblCellMar>
            <w:top w:w="15" w:type="dxa"/>
            <w:left w:w="15" w:type="dxa"/>
            <w:bottom w:w="15" w:type="dxa"/>
            <w:right w:w="15" w:type="dxa"/>
          </w:tblCellMar>
        </w:tblPrEx>
        <w:trPr>
          <w:trHeight w:val="584" w:hRule="exac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15</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湛江港宝满港区集装箱码头一期扩建工程建设规模调整</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kern w:val="0"/>
                <w:sz w:val="24"/>
                <w:szCs w:val="24"/>
                <w:highlight w:val="none"/>
                <w:lang w:bidi="ar"/>
              </w:rPr>
              <w:t>湛江港国际集装箱码头有限公司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湛江市交通运输局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cs="仿宋_GB2312"/>
                <w:color w:val="auto"/>
                <w:kern w:val="0"/>
                <w:sz w:val="24"/>
                <w:szCs w:val="24"/>
                <w:highlight w:val="none"/>
                <w:lang w:val="en-US" w:eastAsia="zh-CN" w:bidi="ar"/>
              </w:rPr>
            </w:pPr>
          </w:p>
        </w:tc>
      </w:tr>
      <w:tr>
        <w:tblPrEx>
          <w:tblCellMar>
            <w:top w:w="15" w:type="dxa"/>
            <w:left w:w="15" w:type="dxa"/>
            <w:bottom w:w="15" w:type="dxa"/>
            <w:right w:w="15" w:type="dxa"/>
          </w:tblCellMar>
        </w:tblPrEx>
        <w:trPr>
          <w:trHeight w:val="584" w:hRule="exac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16</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汕头港广澳港区三期工程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kern w:val="0"/>
                <w:sz w:val="24"/>
                <w:szCs w:val="24"/>
                <w:highlight w:val="none"/>
                <w:lang w:bidi="ar"/>
              </w:rPr>
              <w:t>汕头招商局港口集团有限公司</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汕头市交通运输局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cs="仿宋_GB2312"/>
                <w:color w:val="auto"/>
                <w:kern w:val="0"/>
                <w:sz w:val="24"/>
                <w:szCs w:val="24"/>
                <w:highlight w:val="none"/>
                <w:lang w:val="en-US" w:eastAsia="zh-CN" w:bidi="ar"/>
              </w:rPr>
            </w:pPr>
          </w:p>
        </w:tc>
      </w:tr>
      <w:tr>
        <w:tblPrEx>
          <w:tblCellMar>
            <w:top w:w="15" w:type="dxa"/>
            <w:left w:w="15" w:type="dxa"/>
            <w:bottom w:w="15" w:type="dxa"/>
            <w:right w:w="15" w:type="dxa"/>
          </w:tblCellMar>
        </w:tblPrEx>
        <w:trPr>
          <w:trHeight w:val="584" w:hRule="exac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17</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惠州港碧甲公共航道扩建工程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kern w:val="0"/>
                <w:sz w:val="24"/>
                <w:szCs w:val="24"/>
                <w:highlight w:val="none"/>
                <w:lang w:bidi="ar"/>
              </w:rPr>
              <w:t>惠州市港口航空铁路事务中心</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惠州市交通运输局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cs="仿宋_GB2312"/>
                <w:color w:val="auto"/>
                <w:kern w:val="0"/>
                <w:sz w:val="24"/>
                <w:szCs w:val="24"/>
                <w:highlight w:val="none"/>
                <w:lang w:val="en-US" w:eastAsia="zh-CN" w:bidi="ar"/>
              </w:rPr>
            </w:pPr>
          </w:p>
        </w:tc>
      </w:tr>
      <w:tr>
        <w:tblPrEx>
          <w:tblCellMar>
            <w:top w:w="15" w:type="dxa"/>
            <w:left w:w="15" w:type="dxa"/>
            <w:bottom w:w="15" w:type="dxa"/>
            <w:right w:w="15" w:type="dxa"/>
          </w:tblCellMar>
        </w:tblPrEx>
        <w:trPr>
          <w:trHeight w:val="584" w:hRule="exac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18</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惠州港东联作业区进港航道扩建工程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kern w:val="0"/>
                <w:sz w:val="24"/>
                <w:szCs w:val="24"/>
                <w:highlight w:val="none"/>
                <w:lang w:bidi="ar"/>
              </w:rPr>
              <w:t>惠州市港口航空铁路事务中心</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kern w:val="0"/>
                <w:sz w:val="24"/>
                <w:szCs w:val="24"/>
                <w:highlight w:val="none"/>
                <w:lang w:val="en-US" w:eastAsia="zh-CN" w:bidi="ar"/>
              </w:rPr>
              <w:t>惠州市交通运输局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cs="仿宋_GB2312"/>
                <w:color w:val="auto"/>
                <w:kern w:val="0"/>
                <w:sz w:val="24"/>
                <w:szCs w:val="24"/>
                <w:highlight w:val="none"/>
                <w:lang w:val="en-US" w:eastAsia="zh-CN" w:bidi="ar"/>
              </w:rPr>
            </w:pPr>
          </w:p>
        </w:tc>
      </w:tr>
      <w:tr>
        <w:tblPrEx>
          <w:tblCellMar>
            <w:top w:w="15" w:type="dxa"/>
            <w:left w:w="15" w:type="dxa"/>
            <w:bottom w:w="15" w:type="dxa"/>
            <w:right w:w="15" w:type="dxa"/>
          </w:tblCellMar>
        </w:tblPrEx>
        <w:trPr>
          <w:trHeight w:val="584" w:hRule="exac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19</w:t>
            </w:r>
          </w:p>
        </w:tc>
        <w:tc>
          <w:tcPr>
            <w:tcW w:w="3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惠州港荃湾港区进港航道等级提升工程工程</w:t>
            </w:r>
          </w:p>
        </w:tc>
        <w:tc>
          <w:tcPr>
            <w:tcW w:w="2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kern w:val="0"/>
                <w:sz w:val="24"/>
                <w:szCs w:val="24"/>
                <w:highlight w:val="none"/>
                <w:lang w:bidi="ar"/>
              </w:rPr>
              <w:t>惠州市港口航空铁路事务中心</w:t>
            </w:r>
          </w:p>
        </w:tc>
        <w:tc>
          <w:tcPr>
            <w:tcW w:w="1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kern w:val="0"/>
                <w:sz w:val="24"/>
                <w:szCs w:val="24"/>
                <w:highlight w:val="none"/>
                <w:lang w:val="en-US" w:eastAsia="zh-CN" w:bidi="ar"/>
              </w:rPr>
              <w:t>惠州市交通运输局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cs="仿宋_GB2312"/>
                <w:color w:val="auto"/>
                <w:kern w:val="0"/>
                <w:sz w:val="24"/>
                <w:szCs w:val="24"/>
                <w:highlight w:val="none"/>
                <w:lang w:val="en-US" w:eastAsia="zh-CN" w:bidi="ar"/>
              </w:rPr>
            </w:pPr>
          </w:p>
        </w:tc>
      </w:tr>
    </w:tbl>
    <w:p>
      <w:pPr>
        <w:ind w:left="720" w:hanging="720" w:hangingChars="300"/>
        <w:rPr>
          <w:rFonts w:hint="eastAsia" w:ascii="仿宋_GB2312" w:hAnsi="宋体" w:cs="宋体"/>
          <w:color w:val="000000"/>
          <w:sz w:val="24"/>
        </w:rPr>
      </w:pPr>
      <w:r>
        <w:rPr>
          <w:rFonts w:hint="eastAsia" w:ascii="仿宋_GB2312" w:hAnsi="宋体" w:cs="宋体"/>
          <w:color w:val="000000"/>
          <w:sz w:val="24"/>
        </w:rPr>
        <w:t>注：1.在信用评价中，地级以上市交通运输（港口）行政主管部门、上级管理部门的</w:t>
      </w:r>
      <w:r>
        <w:rPr>
          <w:rFonts w:hint="eastAsia" w:ascii="仿宋_GB2312" w:hAnsi="宋体" w:cs="宋体"/>
          <w:color w:val="000000"/>
          <w:sz w:val="24"/>
          <w:lang w:val="en-US" w:eastAsia="zh-CN"/>
        </w:rPr>
        <w:t xml:space="preserve">    </w:t>
      </w:r>
      <w:r>
        <w:rPr>
          <w:rFonts w:hint="eastAsia" w:ascii="仿宋_GB2312" w:hAnsi="宋体" w:cs="宋体"/>
          <w:color w:val="000000"/>
          <w:sz w:val="24"/>
        </w:rPr>
        <w:t>项目管理权限按上述隶属关系来界定（仅适用于信用评价工作）。</w:t>
      </w:r>
    </w:p>
    <w:p>
      <w:pPr>
        <w:ind w:left="720" w:hanging="720" w:hangingChars="300"/>
      </w:pPr>
      <w:r>
        <w:rPr>
          <w:rFonts w:hint="eastAsia" w:ascii="仿宋_GB2312" w:hAnsi="宋体" w:cs="宋体"/>
          <w:color w:val="000000"/>
          <w:sz w:val="24"/>
        </w:rPr>
        <w:t xml:space="preserve">    2.备注中“仅评设计”指202</w:t>
      </w:r>
      <w:r>
        <w:rPr>
          <w:rFonts w:hint="eastAsia" w:ascii="仿宋_GB2312" w:hAnsi="宋体" w:cs="宋体"/>
          <w:color w:val="000000"/>
          <w:sz w:val="24"/>
          <w:lang w:val="en-US" w:eastAsia="zh-CN"/>
        </w:rPr>
        <w:t>2</w:t>
      </w:r>
      <w:r>
        <w:rPr>
          <w:rFonts w:hint="eastAsia" w:ascii="仿宋_GB2312" w:hAnsi="宋体" w:cs="宋体"/>
          <w:color w:val="000000"/>
          <w:sz w:val="24"/>
        </w:rPr>
        <w:t>年度无主体施工工程量或完成主体工程量不超合同</w:t>
      </w:r>
      <w:r>
        <w:rPr>
          <w:rFonts w:hint="eastAsia" w:ascii="仿宋_GB2312" w:hAnsi="宋体" w:cs="宋体"/>
          <w:color w:val="000000"/>
          <w:sz w:val="24"/>
          <w:lang w:val="en-US" w:eastAsia="zh-CN"/>
        </w:rPr>
        <w:t xml:space="preserve"> </w:t>
      </w:r>
      <w:r>
        <w:rPr>
          <w:rFonts w:hint="eastAsia" w:ascii="仿宋_GB2312" w:hAnsi="宋体" w:cs="宋体"/>
          <w:color w:val="000000"/>
          <w:sz w:val="24"/>
        </w:rPr>
        <w:t>额10％时，不对施工与监理单位进行评价；如已开工，项目建设（代建）单位仍须参与评价</w:t>
      </w:r>
      <w:r>
        <w:rPr>
          <w:rFonts w:hint="eastAsia" w:ascii="仿宋_GB2312" w:hAnsi="宋体" w:cs="宋体"/>
          <w:color w:val="000000"/>
          <w:sz w:val="24"/>
          <w:lang w:eastAsia="zh-CN"/>
        </w:rPr>
        <w:t>；</w:t>
      </w:r>
      <w:r>
        <w:rPr>
          <w:rFonts w:hint="eastAsia" w:ascii="仿宋_GB2312" w:hAnsi="宋体" w:cs="宋体"/>
          <w:color w:val="000000"/>
          <w:sz w:val="24"/>
          <w:lang w:val="en-US" w:eastAsia="zh-CN"/>
        </w:rPr>
        <w:t>如有设计技术审查，增加</w:t>
      </w:r>
      <w:bookmarkStart w:id="0" w:name="_GoBack"/>
      <w:bookmarkEnd w:id="0"/>
      <w:r>
        <w:rPr>
          <w:rFonts w:hint="eastAsia" w:ascii="仿宋_GB2312" w:hAnsi="宋体" w:cs="宋体"/>
          <w:color w:val="000000"/>
          <w:sz w:val="24"/>
          <w:lang w:val="en-US" w:eastAsia="zh-CN"/>
        </w:rPr>
        <w:t>对咨询单位进行评价</w:t>
      </w:r>
      <w:r>
        <w:rPr>
          <w:rFonts w:hint="eastAsia" w:ascii="仿宋_GB2312" w:hAnsi="宋体" w:cs="宋体"/>
          <w:color w:val="000000"/>
          <w:sz w:val="24"/>
        </w:rPr>
        <w:t>。</w:t>
      </w:r>
    </w:p>
    <w:sectPr>
      <w:footerReference r:id="rId3" w:type="default"/>
      <w:pgSz w:w="11906" w:h="16838"/>
      <w:pgMar w:top="2155" w:right="1361" w:bottom="1559" w:left="1588" w:header="720" w:footer="1763"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spacing w:before="140" w:line="240" w:lineRule="atLeast"/>
      <w:rPr>
        <w:rStyle w:val="5"/>
        <w:rFonts w:hint="eastAsia"/>
        <w:szCs w:val="32"/>
      </w:rPr>
    </w:pPr>
    <w:r>
      <w:rPr>
        <w:rStyle w:val="5"/>
        <w:rFonts w:hint="eastAsia"/>
        <w:szCs w:val="32"/>
      </w:rPr>
      <w:t>—</w:t>
    </w:r>
    <w:r>
      <w:rPr>
        <w:rStyle w:val="5"/>
        <w:rFonts w:hint="eastAsia"/>
      </w:rPr>
      <w:t xml:space="preserve"> </w:t>
    </w:r>
    <w:r>
      <w:rPr>
        <w:spacing w:val="34"/>
        <w:kern w:val="0"/>
        <w:szCs w:val="20"/>
      </w:rPr>
      <w:fldChar w:fldCharType="begin"/>
    </w:r>
    <w:r>
      <w:rPr>
        <w:rStyle w:val="5"/>
        <w:spacing w:val="34"/>
        <w:kern w:val="0"/>
        <w:szCs w:val="20"/>
      </w:rPr>
      <w:instrText xml:space="preserve">PAGE  </w:instrText>
    </w:r>
    <w:r>
      <w:rPr>
        <w:spacing w:val="34"/>
        <w:kern w:val="0"/>
        <w:szCs w:val="20"/>
      </w:rPr>
      <w:fldChar w:fldCharType="separate"/>
    </w:r>
    <w:r>
      <w:rPr>
        <w:rStyle w:val="5"/>
        <w:spacing w:val="34"/>
        <w:kern w:val="0"/>
        <w:szCs w:val="20"/>
      </w:rPr>
      <w:t>2</w:t>
    </w:r>
    <w:r>
      <w:rPr>
        <w:spacing w:val="34"/>
        <w:kern w:val="0"/>
        <w:szCs w:val="20"/>
      </w:rPr>
      <w:fldChar w:fldCharType="end"/>
    </w:r>
    <w:r>
      <w:rPr>
        <w:rStyle w:val="5"/>
        <w:rFonts w:hint="eastAsia"/>
        <w:szCs w:val="32"/>
      </w:rPr>
      <w:t>—</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jg2NmJhMjk2ZDc2OTQ1ZTJjODc0ZDU0N2Y3MjgifQ=="/>
  </w:docVars>
  <w:rsids>
    <w:rsidRoot w:val="6A535A63"/>
    <w:rsid w:val="01A02C93"/>
    <w:rsid w:val="046D29C9"/>
    <w:rsid w:val="056D3724"/>
    <w:rsid w:val="07341AD0"/>
    <w:rsid w:val="08880F57"/>
    <w:rsid w:val="0C0918FC"/>
    <w:rsid w:val="0E052F3F"/>
    <w:rsid w:val="0EA37BCD"/>
    <w:rsid w:val="0FAF5C6E"/>
    <w:rsid w:val="21E647A7"/>
    <w:rsid w:val="224235AF"/>
    <w:rsid w:val="235331E4"/>
    <w:rsid w:val="26047246"/>
    <w:rsid w:val="28FC4169"/>
    <w:rsid w:val="2E83481A"/>
    <w:rsid w:val="34CF374A"/>
    <w:rsid w:val="3D3664DD"/>
    <w:rsid w:val="3ED756B2"/>
    <w:rsid w:val="3F563EE8"/>
    <w:rsid w:val="3FCF006C"/>
    <w:rsid w:val="4C1668EC"/>
    <w:rsid w:val="4E4C34C4"/>
    <w:rsid w:val="4FF32C41"/>
    <w:rsid w:val="53334540"/>
    <w:rsid w:val="5863166C"/>
    <w:rsid w:val="61A45B59"/>
    <w:rsid w:val="68EE126A"/>
    <w:rsid w:val="6A535A63"/>
    <w:rsid w:val="6F9B0A04"/>
    <w:rsid w:val="70480FAF"/>
    <w:rsid w:val="7137174F"/>
    <w:rsid w:val="72295152"/>
    <w:rsid w:val="72CB4A9C"/>
    <w:rsid w:val="73E50018"/>
    <w:rsid w:val="79F44681"/>
    <w:rsid w:val="7A801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楷体_GB2312"/>
      <w:sz w:val="32"/>
      <w:szCs w:val="18"/>
    </w:rPr>
  </w:style>
  <w:style w:type="character" w:styleId="5">
    <w:name w:val="page number"/>
    <w:basedOn w:val="4"/>
    <w:qFormat/>
    <w:uiPriority w:val="0"/>
  </w:style>
  <w:style w:type="paragraph" w:customStyle="1" w:styleId="6">
    <w:name w:val="文件标号"/>
    <w:basedOn w:val="1"/>
    <w:qFormat/>
    <w:uiPriority w:val="0"/>
    <w:pPr>
      <w:widowControl/>
      <w:spacing w:before="1440" w:line="560" w:lineRule="atLeast"/>
      <w:jc w:val="right"/>
    </w:pPr>
    <w:rPr>
      <w:rFonts w:eastAsia="仿宋_GB2312"/>
      <w:spacing w:val="20"/>
      <w:kern w:val="0"/>
      <w:sz w:val="32"/>
      <w:szCs w:val="20"/>
    </w:rPr>
  </w:style>
  <w:style w:type="paragraph" w:customStyle="1" w:styleId="7">
    <w:name w:val="主送单位"/>
    <w:basedOn w:val="1"/>
    <w:qFormat/>
    <w:uiPriority w:val="0"/>
    <w:pPr>
      <w:widowControl/>
      <w:spacing w:line="560" w:lineRule="atLeast"/>
    </w:pPr>
    <w:rPr>
      <w:rFonts w:eastAsia="仿宋_GB2312"/>
      <w:kern w:val="0"/>
      <w:sz w:val="32"/>
      <w:szCs w:val="20"/>
    </w:rPr>
  </w:style>
  <w:style w:type="paragraph" w:customStyle="1" w:styleId="8">
    <w:name w:val="No Spacing"/>
    <w:qFormat/>
    <w:uiPriority w:val="1"/>
    <w:pPr>
      <w:widowControl w:val="0"/>
      <w:jc w:val="both"/>
    </w:pPr>
    <w:rPr>
      <w:rFonts w:ascii="Times New Roman" w:hAnsi="Times New Roman" w:eastAsia="仿宋_GB2312" w:cs="Times New Roman"/>
      <w:kern w:val="2"/>
      <w:sz w:val="32"/>
      <w:szCs w:val="32"/>
      <w:lang w:val="en-US" w:eastAsia="zh-CN" w:bidi="ar-SA"/>
    </w:rPr>
  </w:style>
  <w:style w:type="paragraph" w:customStyle="1" w:styleId="9">
    <w:name w:val="主题词"/>
    <w:basedOn w:val="1"/>
    <w:qFormat/>
    <w:uiPriority w:val="0"/>
    <w:pPr>
      <w:widowControl/>
      <w:spacing w:line="560" w:lineRule="atLeast"/>
    </w:pPr>
    <w:rPr>
      <w:rFonts w:eastAsia="黑体"/>
      <w:spacing w:val="8"/>
      <w:kern w:val="0"/>
      <w:sz w:val="32"/>
      <w:szCs w:val="20"/>
    </w:rPr>
  </w:style>
  <w:style w:type="character" w:customStyle="1" w:styleId="10">
    <w:name w:val="抄送 4号"/>
    <w:basedOn w:val="11"/>
    <w:qFormat/>
    <w:uiPriority w:val="0"/>
    <w:rPr>
      <w:rFonts w:cs="Times New Roman"/>
      <w:sz w:val="28"/>
      <w:szCs w:val="28"/>
    </w:rPr>
  </w:style>
  <w:style w:type="character" w:customStyle="1" w:styleId="11">
    <w:name w:val="抄送单位 Char"/>
    <w:basedOn w:val="4"/>
    <w:qFormat/>
    <w:uiPriority w:val="0"/>
    <w:rPr>
      <w:rFonts w:eastAsia="仿宋_GB2312"/>
      <w:spacing w:val="30"/>
      <w:sz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省交通运输厅</Company>
  <Pages>7</Pages>
  <Words>4253</Words>
  <Characters>4414</Characters>
  <Lines>0</Lines>
  <Paragraphs>0</Paragraphs>
  <TotalTime>1</TotalTime>
  <ScaleCrop>false</ScaleCrop>
  <LinksUpToDate>false</LinksUpToDate>
  <CharactersWithSpaces>4424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2022-12-23T08:05:00Z</dcterms:created>
  <dc:creator>yhl</dc:creator>
  <cp:lastModifiedBy>yhl</cp:lastModifiedBy>
  <dcterms:modified xsi:type="dcterms:W3CDTF">2023-01-13T10:11:19Z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22C954DD0AD044F990C6AF4CBA0D9375</vt:lpwstr>
  </property>
</Properties>
</file>