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《广东省交通运输厅关于大件运输许可服务与管理的实施办法（征求意见稿）》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社会公众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21"/>
        <w:gridCol w:w="1083"/>
        <w:gridCol w:w="6287"/>
        <w:gridCol w:w="264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意见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回复单位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征求意见稿条款</w:t>
            </w:r>
          </w:p>
        </w:tc>
        <w:tc>
          <w:tcPr>
            <w:tcW w:w="6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修改意见或建议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修改理由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厅公众网社会公众意见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现场查验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很多超载车辆加装挡牌照灯遮挡号牌躲避非现场治超点，还有就是办一张超限证，拉几台挖机，或者在高速服务区过车，这样的事情太多了，最明显就是河北徐水，应该在高速入口和出口都要查验，以达到全国统一，保护广大卡友的合法权益，维护货运市场的迭序。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采纳，已在《实施办法》明确做好服务区、收费站途中检查以及数据分析比对等事中事后通行监管规定。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NWMxMDg1MjQ4ODllNTRmN2NjMzU2OWRmOTliODYifQ=="/>
  </w:docVars>
  <w:rsids>
    <w:rsidRoot w:val="6F0B0F19"/>
    <w:rsid w:val="08F64F1B"/>
    <w:rsid w:val="23D700A4"/>
    <w:rsid w:val="2878605B"/>
    <w:rsid w:val="57DE2D03"/>
    <w:rsid w:val="5F34284C"/>
    <w:rsid w:val="61C51788"/>
    <w:rsid w:val="6F0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Indent1"/>
    <w:basedOn w:val="1"/>
    <w:qFormat/>
    <w:uiPriority w:val="0"/>
    <w:pPr>
      <w:ind w:firstLine="420" w:firstLineChars="200"/>
    </w:pPr>
    <w:rPr>
      <w:rFonts w:ascii="Times New Roman" w:hAnsi="Times New Roman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245</Words>
  <Characters>245</Characters>
  <Lines>0</Lines>
  <Paragraphs>0</Paragraphs>
  <TotalTime>0</TotalTime>
  <ScaleCrop>false</ScaleCrop>
  <LinksUpToDate>false</LinksUpToDate>
  <CharactersWithSpaces>245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2022-12-06T07:40:00Z</dcterms:created>
  <dc:creator>PC</dc:creator>
  <cp:lastModifiedBy>zj</cp:lastModifiedBy>
  <dcterms:modified xsi:type="dcterms:W3CDTF">2022-12-26T09:49:49Z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B29DB9824B3B40B8A1E2BEC5B0822E91</vt:lpwstr>
  </property>
</Properties>
</file>