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eastAsia="仿宋_GB2312"/>
          <w:kern w:val="0"/>
          <w:sz w:val="40"/>
          <w:szCs w:val="48"/>
        </w:rPr>
      </w:pPr>
      <w:bookmarkStart w:id="0" w:name="_Toc458178247"/>
    </w:p>
    <w:p>
      <w:pPr>
        <w:widowControl/>
        <w:ind w:firstLine="964"/>
        <w:jc w:val="center"/>
        <w:rPr>
          <w:rFonts w:eastAsia="仿宋_GB2312"/>
          <w:b/>
          <w:kern w:val="0"/>
          <w:sz w:val="48"/>
          <w:szCs w:val="48"/>
        </w:rPr>
      </w:pPr>
    </w:p>
    <w:p>
      <w:pPr>
        <w:ind w:firstLine="0" w:firstLineChars="0"/>
        <w:jc w:val="center"/>
        <w:rPr>
          <w:rFonts w:hint="eastAsia" w:ascii="黑体" w:hAnsi="黑体" w:eastAsia="黑体"/>
          <w:b/>
          <w:sz w:val="52"/>
          <w:szCs w:val="52"/>
        </w:rPr>
      </w:pPr>
      <w:r>
        <w:rPr>
          <w:rFonts w:hint="eastAsia" w:ascii="黑体" w:hAnsi="黑体" w:eastAsia="黑体"/>
          <w:b/>
          <w:sz w:val="52"/>
          <w:szCs w:val="52"/>
        </w:rPr>
        <w:t>广东省地方标准制订</w:t>
      </w:r>
    </w:p>
    <w:p>
      <w:pPr>
        <w:ind w:firstLine="0" w:firstLineChars="0"/>
        <w:jc w:val="center"/>
        <w:rPr>
          <w:rFonts w:hint="eastAsia" w:ascii="黑体" w:hAnsi="黑体" w:eastAsia="黑体"/>
          <w:b/>
          <w:sz w:val="52"/>
          <w:szCs w:val="52"/>
          <w:lang w:eastAsia="zh-CN"/>
        </w:rPr>
      </w:pPr>
      <w:r>
        <w:rPr>
          <w:rFonts w:hint="eastAsia" w:ascii="黑体" w:hAnsi="黑体" w:eastAsia="黑体"/>
          <w:b/>
          <w:sz w:val="52"/>
          <w:szCs w:val="52"/>
          <w:lang w:eastAsia="zh-CN"/>
        </w:rPr>
        <w:t>《</w:t>
      </w:r>
      <w:r>
        <w:rPr>
          <w:rFonts w:hint="eastAsia" w:ascii="黑体" w:hAnsi="黑体" w:eastAsia="黑体"/>
          <w:b/>
          <w:sz w:val="52"/>
          <w:szCs w:val="52"/>
        </w:rPr>
        <w:t>广东省内河港口岸电设施建设技术规范</w:t>
      </w:r>
      <w:r>
        <w:rPr>
          <w:rFonts w:hint="eastAsia" w:ascii="黑体" w:hAnsi="黑体" w:eastAsia="黑体"/>
          <w:b/>
          <w:sz w:val="52"/>
          <w:szCs w:val="52"/>
          <w:lang w:eastAsia="zh-CN"/>
        </w:rPr>
        <w:t>（</w:t>
      </w:r>
      <w:r>
        <w:rPr>
          <w:rFonts w:hint="eastAsia" w:ascii="黑体" w:hAnsi="黑体" w:eastAsia="黑体"/>
          <w:b/>
          <w:sz w:val="52"/>
          <w:szCs w:val="52"/>
          <w:lang w:val="en-US" w:eastAsia="zh-CN"/>
        </w:rPr>
        <w:t>征求意见稿</w:t>
      </w:r>
      <w:r>
        <w:rPr>
          <w:rFonts w:hint="eastAsia" w:ascii="黑体" w:hAnsi="黑体" w:eastAsia="黑体"/>
          <w:b/>
          <w:sz w:val="52"/>
          <w:szCs w:val="52"/>
          <w:lang w:eastAsia="zh-CN"/>
        </w:rPr>
        <w:t>）》</w:t>
      </w:r>
    </w:p>
    <w:p>
      <w:pPr>
        <w:ind w:firstLine="0" w:firstLineChars="0"/>
        <w:jc w:val="center"/>
        <w:rPr>
          <w:rFonts w:hint="default" w:ascii="黑体" w:hAnsi="黑体" w:eastAsia="黑体"/>
          <w:b/>
          <w:sz w:val="52"/>
          <w:szCs w:val="52"/>
          <w:lang w:val="en-US" w:eastAsia="zh-CN"/>
        </w:rPr>
      </w:pPr>
      <w:r>
        <w:rPr>
          <w:rFonts w:hint="eastAsia" w:ascii="黑体" w:hAnsi="黑体" w:eastAsia="黑体"/>
          <w:b/>
          <w:sz w:val="52"/>
          <w:szCs w:val="52"/>
          <w:lang w:val="en-US" w:eastAsia="zh-CN"/>
        </w:rPr>
        <w:t>编制说明</w:t>
      </w: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bCs/>
          <w:sz w:val="32"/>
          <w:szCs w:val="32"/>
        </w:rPr>
      </w:pPr>
      <w:r>
        <w:rPr>
          <w:rFonts w:hint="eastAsia" w:ascii="黑体" w:hAnsi="黑体" w:eastAsia="黑体"/>
          <w:b/>
          <w:bCs/>
          <w:sz w:val="32"/>
          <w:szCs w:val="32"/>
        </w:rPr>
        <w:t>广东省交通运输规划研究中心</w:t>
      </w:r>
    </w:p>
    <w:p>
      <w:pPr>
        <w:ind w:right="240" w:firstLine="0" w:firstLineChars="0"/>
        <w:jc w:val="center"/>
        <w:rPr>
          <w:rFonts w:hint="default" w:ascii="黑体" w:hAnsi="黑体" w:eastAsia="黑体"/>
          <w:b/>
          <w:bCs/>
          <w:sz w:val="32"/>
          <w:szCs w:val="32"/>
          <w:lang w:val="en-US" w:eastAsia="zh-CN"/>
        </w:rPr>
      </w:pPr>
      <w:r>
        <w:rPr>
          <w:rFonts w:ascii="黑体" w:hAnsi="黑体" w:eastAsia="黑体"/>
          <w:b/>
          <w:bCs/>
          <w:sz w:val="32"/>
          <w:szCs w:val="32"/>
        </w:rPr>
        <w:t>广东</w:t>
      </w:r>
      <w:r>
        <w:rPr>
          <w:rFonts w:hint="eastAsia" w:ascii="黑体" w:hAnsi="黑体" w:eastAsia="黑体"/>
          <w:b/>
          <w:bCs/>
          <w:sz w:val="32"/>
          <w:szCs w:val="32"/>
          <w:lang w:val="en-US" w:eastAsia="zh-CN"/>
        </w:rPr>
        <w:t>电网有限责任公司</w:t>
      </w:r>
    </w:p>
    <w:p>
      <w:pPr>
        <w:ind w:right="240" w:firstLine="0" w:firstLineChars="0"/>
        <w:jc w:val="center"/>
        <w:rPr>
          <w:rFonts w:ascii="黑体" w:hAnsi="黑体" w:eastAsia="黑体"/>
          <w:b/>
          <w:bCs/>
          <w:sz w:val="30"/>
          <w:szCs w:val="30"/>
        </w:rPr>
      </w:pPr>
      <w:r>
        <w:rPr>
          <w:rFonts w:ascii="黑体" w:hAnsi="黑体" w:eastAsia="黑体"/>
          <w:b/>
          <w:bCs/>
          <w:sz w:val="32"/>
          <w:szCs w:val="32"/>
        </w:rPr>
        <w:t>20</w:t>
      </w:r>
      <w:r>
        <w:rPr>
          <w:rFonts w:hint="eastAsia" w:ascii="黑体" w:hAnsi="黑体" w:eastAsia="黑体"/>
          <w:b/>
          <w:bCs/>
          <w:sz w:val="32"/>
          <w:szCs w:val="32"/>
          <w:lang w:val="en-US" w:eastAsia="zh-CN"/>
        </w:rPr>
        <w:t>22</w:t>
      </w:r>
      <w:r>
        <w:rPr>
          <w:rFonts w:ascii="黑体" w:hAnsi="黑体" w:eastAsia="黑体"/>
          <w:b/>
          <w:bCs/>
          <w:sz w:val="32"/>
          <w:szCs w:val="32"/>
        </w:rPr>
        <w:t>年</w:t>
      </w:r>
      <w:r>
        <w:rPr>
          <w:rFonts w:hint="eastAsia" w:ascii="黑体" w:hAnsi="黑体" w:eastAsia="黑体"/>
          <w:b/>
          <w:bCs/>
          <w:sz w:val="32"/>
          <w:szCs w:val="32"/>
          <w:lang w:val="en-US" w:eastAsia="zh-CN"/>
        </w:rPr>
        <w:t>10</w:t>
      </w:r>
      <w:r>
        <w:rPr>
          <w:rFonts w:ascii="黑体" w:hAnsi="黑体" w:eastAsia="黑体"/>
          <w:b/>
          <w:bCs/>
          <w:sz w:val="32"/>
          <w:szCs w:val="32"/>
        </w:rPr>
        <w:t>月</w:t>
      </w:r>
    </w:p>
    <w:p>
      <w:pPr>
        <w:ind w:right="240" w:firstLine="602"/>
        <w:jc w:val="center"/>
        <w:rPr>
          <w:b/>
          <w:bCs/>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81" w:charSpace="0"/>
        </w:sectPr>
      </w:pPr>
    </w:p>
    <w:p>
      <w:pPr>
        <w:ind w:firstLine="0" w:firstLineChars="0"/>
        <w:jc w:val="center"/>
        <w:rPr>
          <w:rFonts w:ascii="黑体" w:hAnsi="黑体" w:eastAsia="黑体"/>
          <w:b/>
          <w:spacing w:val="-12"/>
          <w:sz w:val="36"/>
          <w:szCs w:val="36"/>
        </w:rPr>
      </w:pPr>
    </w:p>
    <w:p>
      <w:pPr>
        <w:pStyle w:val="3"/>
      </w:pPr>
      <w:bookmarkStart w:id="1" w:name="_Toc21548"/>
      <w:bookmarkStart w:id="2" w:name="_Toc13181"/>
      <w:r>
        <w:rPr>
          <w:rFonts w:hint="eastAsia"/>
        </w:rPr>
        <w:t>目  录</w:t>
      </w:r>
      <w:bookmarkEnd w:id="1"/>
      <w:bookmarkEnd w:id="2"/>
    </w:p>
    <w:p>
      <w:pPr>
        <w:pStyle w:val="2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TOC \o "1-2" \h \z \u \t "标题 3,3" </w:instrText>
      </w:r>
      <w:r>
        <w:fldChar w:fldCharType="separate"/>
      </w:r>
      <w:r>
        <w:fldChar w:fldCharType="begin"/>
      </w:r>
      <w:r>
        <w:instrText xml:space="preserve"> HYPERLINK \l _Toc17887 </w:instrText>
      </w:r>
      <w:r>
        <w:fldChar w:fldCharType="separate"/>
      </w:r>
      <w:r>
        <w:rPr>
          <w:rFonts w:hint="eastAsia"/>
        </w:rPr>
        <w:t xml:space="preserve">第1章  </w:t>
      </w:r>
      <w:r>
        <w:rPr>
          <w:rFonts w:hint="eastAsia"/>
          <w:lang w:val="en-US" w:eastAsia="zh-CN"/>
        </w:rPr>
        <w:t>标准制定的背景和必要性</w:t>
      </w:r>
      <w:r>
        <w:tab/>
      </w:r>
      <w:r>
        <w:fldChar w:fldCharType="begin"/>
      </w:r>
      <w:r>
        <w:instrText xml:space="preserve"> PAGEREF _Toc17887 </w:instrText>
      </w:r>
      <w:r>
        <w:fldChar w:fldCharType="separate"/>
      </w:r>
      <w:r>
        <w:t>1</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_Toc8902 </w:instrText>
      </w:r>
      <w:r>
        <w:fldChar w:fldCharType="separate"/>
      </w:r>
      <w:r>
        <w:rPr>
          <w:rFonts w:hint="eastAsia"/>
        </w:rPr>
        <w:t xml:space="preserve">1.1 </w:t>
      </w:r>
      <w:r>
        <w:rPr>
          <w:rFonts w:hint="eastAsia"/>
          <w:lang w:eastAsia="zh-CN"/>
        </w:rPr>
        <w:t>背景</w:t>
      </w:r>
      <w:r>
        <w:tab/>
      </w:r>
      <w:r>
        <w:fldChar w:fldCharType="begin"/>
      </w:r>
      <w:r>
        <w:instrText xml:space="preserve"> PAGEREF _Toc8902 </w:instrText>
      </w:r>
      <w:r>
        <w:fldChar w:fldCharType="separate"/>
      </w:r>
      <w:r>
        <w:t>1</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_Toc28224 </w:instrText>
      </w:r>
      <w:r>
        <w:fldChar w:fldCharType="separate"/>
      </w:r>
      <w:r>
        <w:rPr>
          <w:rFonts w:hint="eastAsia"/>
        </w:rPr>
        <w:t xml:space="preserve">1.2 </w:t>
      </w:r>
      <w:r>
        <w:rPr>
          <w:rFonts w:hint="eastAsia"/>
          <w:lang w:val="en-US" w:eastAsia="zh-CN"/>
        </w:rPr>
        <w:t>必要性</w:t>
      </w:r>
      <w:r>
        <w:tab/>
      </w:r>
      <w:r>
        <w:fldChar w:fldCharType="begin"/>
      </w:r>
      <w:r>
        <w:instrText xml:space="preserve"> PAGEREF _Toc28224 </w:instrText>
      </w:r>
      <w:r>
        <w:fldChar w:fldCharType="separate"/>
      </w:r>
      <w:r>
        <w:t>4</w:t>
      </w:r>
      <w:r>
        <w:fldChar w:fldCharType="end"/>
      </w:r>
      <w:r>
        <w:fldChar w:fldCharType="end"/>
      </w:r>
    </w:p>
    <w:p>
      <w:pPr>
        <w:pStyle w:val="2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_Toc15541 </w:instrText>
      </w:r>
      <w:r>
        <w:fldChar w:fldCharType="separate"/>
      </w:r>
      <w:r>
        <w:rPr>
          <w:rFonts w:hint="eastAsia"/>
        </w:rPr>
        <w:t>第</w:t>
      </w:r>
      <w:r>
        <w:rPr>
          <w:rFonts w:hint="eastAsia"/>
          <w:lang w:val="en-US" w:eastAsia="zh-CN"/>
        </w:rPr>
        <w:t>2</w:t>
      </w:r>
      <w:r>
        <w:rPr>
          <w:rFonts w:hint="eastAsia"/>
        </w:rPr>
        <w:t xml:space="preserve">章  </w:t>
      </w:r>
      <w:r>
        <w:rPr>
          <w:rFonts w:hint="eastAsia"/>
          <w:lang w:val="en-US" w:eastAsia="zh-CN"/>
        </w:rPr>
        <w:t>原则和编制依据</w:t>
      </w:r>
      <w:r>
        <w:tab/>
      </w:r>
      <w:r>
        <w:fldChar w:fldCharType="begin"/>
      </w:r>
      <w:r>
        <w:instrText xml:space="preserve"> PAGEREF _Toc15541 </w:instrText>
      </w:r>
      <w:r>
        <w:fldChar w:fldCharType="separate"/>
      </w:r>
      <w:r>
        <w:t>5</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_Toc30812 </w:instrText>
      </w:r>
      <w:r>
        <w:fldChar w:fldCharType="separate"/>
      </w:r>
      <w:r>
        <w:rPr>
          <w:rFonts w:hint="eastAsia"/>
          <w:lang w:val="en-US" w:eastAsia="zh-CN"/>
        </w:rPr>
        <w:t>2</w:t>
      </w:r>
      <w:r>
        <w:rPr>
          <w:rFonts w:hint="eastAsia"/>
        </w:rPr>
        <w:t xml:space="preserve">.1 </w:t>
      </w:r>
      <w:r>
        <w:rPr>
          <w:rFonts w:hint="eastAsia"/>
          <w:lang w:eastAsia="zh-CN"/>
        </w:rPr>
        <w:t>遵循原则</w:t>
      </w:r>
      <w:r>
        <w:tab/>
      </w:r>
      <w:r>
        <w:fldChar w:fldCharType="begin"/>
      </w:r>
      <w:r>
        <w:instrText xml:space="preserve"> PAGEREF _Toc30812 </w:instrText>
      </w:r>
      <w:r>
        <w:fldChar w:fldCharType="separate"/>
      </w:r>
      <w:r>
        <w:t>5</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_Toc25408 </w:instrText>
      </w:r>
      <w:r>
        <w:fldChar w:fldCharType="separate"/>
      </w:r>
      <w:r>
        <w:rPr>
          <w:rFonts w:hint="eastAsia"/>
          <w:lang w:val="en-US" w:eastAsia="zh-CN"/>
        </w:rPr>
        <w:t>2</w:t>
      </w:r>
      <w:r>
        <w:rPr>
          <w:rFonts w:hint="eastAsia"/>
        </w:rPr>
        <w:t xml:space="preserve">.1 </w:t>
      </w:r>
      <w:r>
        <w:rPr>
          <w:rFonts w:hint="eastAsia"/>
          <w:lang w:eastAsia="zh-CN"/>
        </w:rPr>
        <w:t>编制依据</w:t>
      </w:r>
      <w:r>
        <w:tab/>
      </w:r>
      <w:r>
        <w:fldChar w:fldCharType="begin"/>
      </w:r>
      <w:r>
        <w:instrText xml:space="preserve"> PAGEREF _Toc25408 </w:instrText>
      </w:r>
      <w:r>
        <w:fldChar w:fldCharType="separate"/>
      </w:r>
      <w:r>
        <w:t>5</w:t>
      </w:r>
      <w:r>
        <w:fldChar w:fldCharType="end"/>
      </w:r>
      <w:r>
        <w:fldChar w:fldCharType="end"/>
      </w:r>
    </w:p>
    <w:p>
      <w:pPr>
        <w:pStyle w:val="2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_Toc20539 </w:instrText>
      </w:r>
      <w:r>
        <w:fldChar w:fldCharType="separate"/>
      </w:r>
      <w:r>
        <w:rPr>
          <w:rFonts w:hint="eastAsia"/>
        </w:rPr>
        <w:t>第</w:t>
      </w:r>
      <w:r>
        <w:rPr>
          <w:rFonts w:hint="eastAsia"/>
          <w:lang w:val="en-US" w:eastAsia="zh-CN"/>
        </w:rPr>
        <w:t>3</w:t>
      </w:r>
      <w:r>
        <w:rPr>
          <w:rFonts w:hint="eastAsia"/>
        </w:rPr>
        <w:t xml:space="preserve">章  </w:t>
      </w:r>
      <w:r>
        <w:rPr>
          <w:rFonts w:hint="eastAsia"/>
          <w:lang w:eastAsia="zh-CN"/>
        </w:rPr>
        <w:t>与现行相关标准的异同</w:t>
      </w:r>
      <w:r>
        <w:tab/>
      </w:r>
      <w:r>
        <w:fldChar w:fldCharType="begin"/>
      </w:r>
      <w:r>
        <w:instrText xml:space="preserve"> PAGEREF _Toc20539 </w:instrText>
      </w:r>
      <w:r>
        <w:fldChar w:fldCharType="separate"/>
      </w:r>
      <w:r>
        <w:t>6</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_Toc10946 </w:instrText>
      </w:r>
      <w:r>
        <w:fldChar w:fldCharType="separate"/>
      </w:r>
      <w:r>
        <w:rPr>
          <w:rFonts w:hint="eastAsia"/>
          <w:lang w:val="en-US" w:eastAsia="zh-CN"/>
        </w:rPr>
        <w:t>3</w:t>
      </w:r>
      <w:r>
        <w:rPr>
          <w:rFonts w:hint="eastAsia"/>
        </w:rPr>
        <w:t>.</w:t>
      </w:r>
      <w:r>
        <w:rPr>
          <w:rFonts w:hint="eastAsia"/>
          <w:lang w:val="en-US" w:eastAsia="zh-CN"/>
        </w:rPr>
        <w:t>1</w:t>
      </w:r>
      <w:r>
        <w:rPr>
          <w:rFonts w:hint="eastAsia"/>
        </w:rPr>
        <w:t xml:space="preserve"> 现行相关标准</w:t>
      </w:r>
      <w:r>
        <w:rPr>
          <w:rFonts w:hint="eastAsia"/>
          <w:lang w:eastAsia="zh-CN"/>
        </w:rPr>
        <w:t>指导内河小容量岸电设施建设的不足</w:t>
      </w:r>
      <w:r>
        <w:tab/>
      </w:r>
      <w:r>
        <w:fldChar w:fldCharType="begin"/>
      </w:r>
      <w:r>
        <w:instrText xml:space="preserve"> PAGEREF _Toc10946 </w:instrText>
      </w:r>
      <w:r>
        <w:fldChar w:fldCharType="separate"/>
      </w:r>
      <w:r>
        <w:t>6</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_Toc30581 </w:instrText>
      </w:r>
      <w:r>
        <w:fldChar w:fldCharType="separate"/>
      </w:r>
      <w:r>
        <w:rPr>
          <w:rFonts w:hint="eastAsia"/>
          <w:lang w:val="en-US" w:eastAsia="zh-CN"/>
        </w:rPr>
        <w:t>3</w:t>
      </w:r>
      <w:r>
        <w:rPr>
          <w:rFonts w:hint="eastAsia"/>
        </w:rPr>
        <w:t>.</w:t>
      </w:r>
      <w:r>
        <w:rPr>
          <w:rFonts w:hint="eastAsia"/>
          <w:lang w:val="en-US" w:eastAsia="zh-CN"/>
        </w:rPr>
        <w:t>2</w:t>
      </w:r>
      <w:r>
        <w:rPr>
          <w:rFonts w:hint="eastAsia"/>
        </w:rPr>
        <w:t xml:space="preserve"> </w:t>
      </w:r>
      <w:r>
        <w:rPr>
          <w:rFonts w:hint="eastAsia"/>
          <w:lang w:eastAsia="zh-CN"/>
        </w:rPr>
        <w:t>本规范补充完善的内容</w:t>
      </w:r>
      <w:r>
        <w:tab/>
      </w:r>
      <w:r>
        <w:fldChar w:fldCharType="begin"/>
      </w:r>
      <w:r>
        <w:instrText xml:space="preserve"> PAGEREF _Toc30581 </w:instrText>
      </w:r>
      <w:r>
        <w:fldChar w:fldCharType="separate"/>
      </w:r>
      <w:r>
        <w:t>9</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_Toc31352 </w:instrText>
      </w:r>
      <w:r>
        <w:fldChar w:fldCharType="separate"/>
      </w:r>
      <w:r>
        <w:rPr>
          <w:rFonts w:hint="eastAsia"/>
          <w:lang w:val="en-US" w:eastAsia="zh-CN"/>
        </w:rPr>
        <w:t>3</w:t>
      </w:r>
      <w:r>
        <w:rPr>
          <w:rFonts w:hint="eastAsia"/>
        </w:rPr>
        <w:t>.</w:t>
      </w:r>
      <w:r>
        <w:rPr>
          <w:rFonts w:hint="eastAsia"/>
          <w:lang w:val="en-US" w:eastAsia="zh-CN"/>
        </w:rPr>
        <w:t xml:space="preserve">3 </w:t>
      </w:r>
      <w:r>
        <w:rPr>
          <w:rFonts w:hint="eastAsia"/>
          <w:lang w:eastAsia="zh-CN"/>
        </w:rPr>
        <w:t>本规范主要创新点</w:t>
      </w:r>
      <w:r>
        <w:tab/>
      </w:r>
      <w:r>
        <w:fldChar w:fldCharType="begin"/>
      </w:r>
      <w:r>
        <w:instrText xml:space="preserve"> PAGEREF _Toc31352 </w:instrText>
      </w:r>
      <w:r>
        <w:fldChar w:fldCharType="separate"/>
      </w:r>
      <w:r>
        <w:t>10</w:t>
      </w:r>
      <w:r>
        <w:fldChar w:fldCharType="end"/>
      </w:r>
      <w:r>
        <w:fldChar w:fldCharType="end"/>
      </w:r>
    </w:p>
    <w:p>
      <w:pPr>
        <w:pStyle w:val="2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_Toc31821 </w:instrText>
      </w:r>
      <w:r>
        <w:fldChar w:fldCharType="separate"/>
      </w:r>
      <w:r>
        <w:rPr>
          <w:rFonts w:hint="eastAsia"/>
          <w:lang w:eastAsia="zh-CN"/>
        </w:rPr>
        <w:t>第</w:t>
      </w:r>
      <w:r>
        <w:rPr>
          <w:rFonts w:hint="eastAsia"/>
          <w:lang w:val="en-US" w:eastAsia="zh-CN"/>
        </w:rPr>
        <w:t>4</w:t>
      </w:r>
      <w:r>
        <w:rPr>
          <w:rFonts w:hint="eastAsia"/>
          <w:lang w:eastAsia="zh-CN"/>
        </w:rPr>
        <w:t>章</w:t>
      </w:r>
      <w:r>
        <w:rPr>
          <w:rFonts w:hint="eastAsia"/>
          <w:lang w:val="en-US" w:eastAsia="zh-CN"/>
        </w:rPr>
        <w:t xml:space="preserve"> 本规范主要内容</w:t>
      </w:r>
      <w:r>
        <w:tab/>
      </w:r>
      <w:r>
        <w:fldChar w:fldCharType="begin"/>
      </w:r>
      <w:r>
        <w:instrText xml:space="preserve"> PAGEREF _Toc31821 </w:instrText>
      </w:r>
      <w:r>
        <w:fldChar w:fldCharType="separate"/>
      </w:r>
      <w:r>
        <w:t>12</w:t>
      </w:r>
      <w:r>
        <w:fldChar w:fldCharType="end"/>
      </w:r>
      <w:r>
        <w:fldChar w:fldCharType="end"/>
      </w:r>
    </w:p>
    <w:p>
      <w:pPr>
        <w:pStyle w:val="2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_Toc20287 </w:instrText>
      </w:r>
      <w:r>
        <w:fldChar w:fldCharType="separate"/>
      </w:r>
      <w:r>
        <w:rPr>
          <w:rFonts w:hint="eastAsia"/>
        </w:rPr>
        <w:t>第</w:t>
      </w:r>
      <w:r>
        <w:rPr>
          <w:rFonts w:hint="eastAsia"/>
          <w:lang w:val="en-US" w:eastAsia="zh-CN"/>
        </w:rPr>
        <w:t>5</w:t>
      </w:r>
      <w:r>
        <w:rPr>
          <w:rFonts w:hint="eastAsia"/>
        </w:rPr>
        <w:t xml:space="preserve">章  </w:t>
      </w:r>
      <w:r>
        <w:rPr>
          <w:rFonts w:hint="eastAsia"/>
          <w:lang w:val="en-US" w:eastAsia="zh-CN"/>
        </w:rPr>
        <w:t>标准编制过程</w:t>
      </w:r>
      <w:r>
        <w:tab/>
      </w:r>
      <w:r>
        <w:fldChar w:fldCharType="begin"/>
      </w:r>
      <w:r>
        <w:instrText xml:space="preserve"> PAGEREF _Toc20287 </w:instrText>
      </w:r>
      <w:r>
        <w:fldChar w:fldCharType="separate"/>
      </w:r>
      <w:r>
        <w:t>17</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_Toc8214 </w:instrText>
      </w:r>
      <w:r>
        <w:fldChar w:fldCharType="separate"/>
      </w:r>
      <w:r>
        <w:rPr>
          <w:rFonts w:hint="eastAsia"/>
          <w:lang w:val="en-US" w:eastAsia="zh-CN"/>
        </w:rPr>
        <w:t>5</w:t>
      </w:r>
      <w:r>
        <w:rPr>
          <w:rFonts w:hint="eastAsia"/>
        </w:rPr>
        <w:t>.1 计划与安排</w:t>
      </w:r>
      <w:r>
        <w:tab/>
      </w:r>
      <w:r>
        <w:fldChar w:fldCharType="begin"/>
      </w:r>
      <w:r>
        <w:instrText xml:space="preserve"> PAGEREF _Toc8214 </w:instrText>
      </w:r>
      <w:r>
        <w:fldChar w:fldCharType="separate"/>
      </w:r>
      <w:r>
        <w:t>17</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_Toc17130 </w:instrText>
      </w:r>
      <w:r>
        <w:fldChar w:fldCharType="separate"/>
      </w:r>
      <w:r>
        <w:rPr>
          <w:rFonts w:hint="eastAsia"/>
          <w:lang w:val="en-US" w:eastAsia="zh-CN"/>
        </w:rPr>
        <w:t>5</w:t>
      </w:r>
      <w:r>
        <w:rPr>
          <w:rFonts w:hint="eastAsia"/>
        </w:rPr>
        <w:t>.</w:t>
      </w:r>
      <w:r>
        <w:rPr>
          <w:rFonts w:hint="eastAsia"/>
          <w:lang w:val="en-US" w:eastAsia="zh-CN"/>
        </w:rPr>
        <w:t>2</w:t>
      </w:r>
      <w:r>
        <w:rPr>
          <w:rFonts w:hint="eastAsia"/>
        </w:rPr>
        <w:t xml:space="preserve"> 标准文稿的编制情况</w:t>
      </w:r>
      <w:r>
        <w:tab/>
      </w:r>
      <w:r>
        <w:fldChar w:fldCharType="begin"/>
      </w:r>
      <w:r>
        <w:instrText xml:space="preserve"> PAGEREF _Toc17130 </w:instrText>
      </w:r>
      <w:r>
        <w:fldChar w:fldCharType="separate"/>
      </w:r>
      <w:r>
        <w:t>18</w:t>
      </w:r>
      <w:r>
        <w:fldChar w:fldCharType="end"/>
      </w:r>
      <w: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0" w:firstLineChars="0"/>
        <w:textAlignment w:val="auto"/>
      </w:pPr>
      <w:r>
        <w:fldChar w:fldCharType="begin"/>
      </w:r>
      <w:r>
        <w:instrText xml:space="preserve"> HYPERLINK \l _Toc19988 </w:instrText>
      </w:r>
      <w:r>
        <w:fldChar w:fldCharType="separate"/>
      </w:r>
      <w:r>
        <w:rPr>
          <w:rFonts w:hint="eastAsia"/>
          <w:lang w:val="en-US" w:eastAsia="zh-CN"/>
        </w:rPr>
        <w:t>5</w:t>
      </w:r>
      <w:r>
        <w:rPr>
          <w:rFonts w:hint="eastAsia"/>
        </w:rPr>
        <w:t>.</w:t>
      </w:r>
      <w:r>
        <w:rPr>
          <w:rFonts w:hint="eastAsia"/>
          <w:lang w:val="en-US" w:eastAsia="zh-CN"/>
        </w:rPr>
        <w:t>3</w:t>
      </w:r>
      <w:r>
        <w:rPr>
          <w:rFonts w:hint="eastAsia"/>
        </w:rPr>
        <w:t xml:space="preserve"> 标准文稿</w:t>
      </w:r>
      <w:r>
        <w:rPr>
          <w:rFonts w:hint="eastAsia"/>
          <w:lang w:val="en-US" w:eastAsia="zh-CN"/>
        </w:rPr>
        <w:t>征求意见</w:t>
      </w:r>
      <w:r>
        <w:rPr>
          <w:rFonts w:hint="eastAsia"/>
        </w:rPr>
        <w:t>情况</w:t>
      </w:r>
      <w:r>
        <w:tab/>
      </w:r>
      <w:r>
        <w:fldChar w:fldCharType="begin"/>
      </w:r>
      <w:r>
        <w:instrText xml:space="preserve"> PAGEREF _Toc19988 </w:instrText>
      </w:r>
      <w:r>
        <w:fldChar w:fldCharType="separate"/>
      </w:r>
      <w:r>
        <w:t>19</w:t>
      </w:r>
      <w:r>
        <w:fldChar w:fldCharType="end"/>
      </w:r>
      <w:r>
        <w:fldChar w:fldCharType="end"/>
      </w:r>
    </w:p>
    <w:p>
      <w:pPr>
        <w:ind w:right="240" w:firstLine="0" w:firstLineChars="0"/>
        <w:jc w:val="center"/>
        <w:sectPr>
          <w:pgSz w:w="11906" w:h="16838"/>
          <w:pgMar w:top="1440" w:right="1800" w:bottom="1440" w:left="1800" w:header="851" w:footer="992" w:gutter="0"/>
          <w:pgNumType w:fmt="upperRoman" w:start="1"/>
          <w:cols w:space="425" w:num="1"/>
          <w:docGrid w:type="lines" w:linePitch="312" w:charSpace="0"/>
        </w:sectPr>
      </w:pPr>
      <w:r>
        <w:fldChar w:fldCharType="end"/>
      </w:r>
    </w:p>
    <w:bookmarkEnd w:id="0"/>
    <w:p>
      <w:pPr>
        <w:pStyle w:val="3"/>
      </w:pPr>
      <w:bookmarkStart w:id="3" w:name="_Toc17887"/>
      <w:r>
        <w:rPr>
          <w:rFonts w:hint="eastAsia"/>
        </w:rPr>
        <w:t xml:space="preserve">第1章  </w:t>
      </w:r>
      <w:r>
        <w:rPr>
          <w:rFonts w:hint="eastAsia"/>
          <w:lang w:val="en-US" w:eastAsia="zh-CN"/>
        </w:rPr>
        <w:t>标准制定的背景和必要性</w:t>
      </w:r>
      <w:bookmarkEnd w:id="3"/>
    </w:p>
    <w:p>
      <w:pPr>
        <w:pStyle w:val="4"/>
      </w:pPr>
      <w:bookmarkStart w:id="4" w:name="_Toc8902"/>
      <w:r>
        <w:rPr>
          <w:rFonts w:hint="eastAsia"/>
        </w:rPr>
        <w:t xml:space="preserve">1.1 </w:t>
      </w:r>
      <w:r>
        <w:rPr>
          <w:rFonts w:hint="eastAsia"/>
          <w:lang w:eastAsia="zh-CN"/>
        </w:rPr>
        <w:t>背景</w:t>
      </w:r>
      <w:bookmarkEnd w:id="4"/>
    </w:p>
    <w:p>
      <w:pPr>
        <w:ind w:firstLine="560"/>
        <w:rPr>
          <w:rFonts w:hint="eastAsia"/>
          <w:lang w:eastAsia="zh-CN"/>
        </w:rPr>
      </w:pPr>
      <w:r>
        <w:rPr>
          <w:rFonts w:hint="eastAsia"/>
          <w:lang w:eastAsia="zh-CN"/>
        </w:rPr>
        <w:t>近二十年来，我国的海上贸易以两位数的年均速度持续增长，成为全球最大的海运贸易国。每年近1/3的全球集装箱贸易和13%的海运散货贸易集中在我国港口，船舶运输交通量巨大，也因此带来了不容忽视的空气污染问题。目前，航运业已成为我国港口城市空气污染的主要来源之一，且港口所处地区人口规模相对较大，部分地区大气污染物环境背景值较高，在高背景浓度情况下，船舶污染增量带来的健康风险更大。随着我国电厂、工业、机动车等行业大气污染减排潜力的降低，有效控制船舶大气污染成为改善空气质量和保护人类健康的重要举措。</w:t>
      </w:r>
    </w:p>
    <w:p>
      <w:pPr>
        <w:ind w:firstLine="560"/>
        <w:rPr>
          <w:rFonts w:hint="eastAsia"/>
          <w:lang w:eastAsia="zh-CN"/>
        </w:rPr>
      </w:pPr>
      <w:r>
        <w:rPr>
          <w:rFonts w:hint="eastAsia"/>
          <w:lang w:eastAsia="zh-CN"/>
        </w:rPr>
        <w:t>近年来，中共中央、国务院及有关部委相继印发加强生态环境保护，打好污染防治攻坚战、打赢蓝天保卫战、柴油货车污染治理攻坚战等指导意见和行动计划，要求加快港口岸电设施建设和船舶受电设施改造，提高岸电使用效率，改善城镇大气环境质量。交通运输部发布港口岸电布局方案，明确港口岸电布局目标。</w:t>
      </w:r>
    </w:p>
    <w:p>
      <w:pPr>
        <w:ind w:firstLine="560"/>
        <w:rPr>
          <w:rFonts w:hint="eastAsia"/>
          <w:lang w:eastAsia="zh-CN"/>
        </w:rPr>
      </w:pPr>
      <w:r>
        <w:rPr>
          <w:rFonts w:hint="eastAsia"/>
          <w:lang w:eastAsia="zh-CN"/>
        </w:rPr>
        <w:t>广东省是港口和航运大省，2018年完成港口货物吞吐量21.10亿吨，年增长6.6%，位居全国第二。广东省主要大气污染物来源不同于我国北方地区煤烟型污染，主要是工业大气污染物和机动车船尾气污染物，据相关研究，船舶已成为珠三角地区二氧化硫、氮氧化物和颗粒物的重要排放源，船舶大气污染防治工作已成为广东省持续改善环境空气质量的重要抓手。</w:t>
      </w:r>
    </w:p>
    <w:p>
      <w:pPr>
        <w:ind w:firstLine="560"/>
        <w:rPr>
          <w:rFonts w:hint="eastAsia"/>
          <w:lang w:eastAsia="zh-CN"/>
        </w:rPr>
      </w:pPr>
      <w:r>
        <w:rPr>
          <w:rFonts w:hint="eastAsia"/>
          <w:lang w:eastAsia="zh-CN"/>
        </w:rPr>
        <w:t>广东省内河水运发达，到2018年底，内河码头泊位719个，完成货物吞吐量2.47亿吨，其中集装箱吞吐量839万TEU，居全国前列。开展专题调研显示，虽然广东省内河船舶大气污染物排放总量相对沿海较小，但多数排放区域临近城镇居民生活区，特别是广州、佛山和肇庆等市，一河两岸码头多为人群密集区，船舶排放的硫氧化物、氮氧化物和固体颗粒物对特定区域范围环境的影响较大。</w:t>
      </w:r>
    </w:p>
    <w:p>
      <w:pPr>
        <w:ind w:firstLine="560"/>
        <w:rPr>
          <w:rFonts w:hint="eastAsia"/>
          <w:lang w:eastAsia="zh-CN"/>
        </w:rPr>
      </w:pPr>
      <w:r>
        <w:rPr>
          <w:rFonts w:hint="eastAsia"/>
          <w:lang w:eastAsia="zh-CN"/>
        </w:rPr>
        <w:t>靠港船舶使用岸电是一项重要的船舶大气污染控制技术。为深挖行业减排潜力， 2017年8月-2018年2月，广东省交通运输厅组织对深圳、广州等沿海港口和佛山、肇庆等主要内河港口开展岸电建设使用及有关体制机制建设的调研。根据调研情况，内河泊位的岸电设施相对简单，建设难度较小，工作相对容易推进；沿海泊位岸电项目耗资较大，使用较为复杂，全面实施岸电建设，面临的困难较多，须下一步重点破解。2018年10月，广东省交通运输厅统筹安排省级港口建设资金约2000万元，参照交通运输部岸电奖励资金的补贴方式，启动实施全省内河泊位岸电全覆盖工程。</w:t>
      </w:r>
    </w:p>
    <w:p>
      <w:pPr>
        <w:ind w:firstLine="560"/>
        <w:rPr>
          <w:rFonts w:hint="eastAsia"/>
          <w:lang w:eastAsia="zh-CN"/>
        </w:rPr>
      </w:pPr>
      <w:r>
        <w:rPr>
          <w:rFonts w:hint="eastAsia"/>
          <w:lang w:eastAsia="zh-CN"/>
        </w:rPr>
        <w:t>现行的系列岸电技术规范中，尚未有内河港口低压小容量岸电设施建设技术标准。为使我省岸电设施建设实现全省统一，便于使用与管理，需要编制《广东省内河港口岸电设施建设技术要求》。2018年3月-2019年3月，省交通运输规划研究中心协助省厅开展《广东省内河港口岸电设施建设技术要求》的编制工作。经查阅相关文件、深入调研、专家座谈，分析研究等，形成《广东省内河港口岸电设施建设技术要求》。</w:t>
      </w:r>
    </w:p>
    <w:p>
      <w:pPr>
        <w:ind w:firstLine="560"/>
        <w:rPr>
          <w:rFonts w:hint="eastAsia"/>
          <w:lang w:eastAsia="zh-CN"/>
        </w:rPr>
      </w:pPr>
      <w:r>
        <w:rPr>
          <w:rFonts w:hint="eastAsia"/>
          <w:lang w:eastAsia="zh-CN"/>
        </w:rPr>
        <w:t>2019年3月，广东省交通运输厅发布了《广东省全面推进港口岸电建设和使用工作方案》（粤交港〔2019〕252号），明确提出“到2019年10月，全省内河港口岸电设施基本实现全覆盖；2020年6月底前，已建岸电设施经试运营后，具备稳定可靠的供电能力”，同时，配套发布《广东省内河港口岸电设施建设技术要求》，对全省内河港口岸电设施的建设进行规范。</w:t>
      </w:r>
    </w:p>
    <w:p>
      <w:pPr>
        <w:ind w:firstLine="560"/>
        <w:rPr>
          <w:rFonts w:hint="eastAsia"/>
          <w:lang w:eastAsia="zh-CN"/>
        </w:rPr>
      </w:pPr>
      <w:r>
        <w:rPr>
          <w:rFonts w:hint="eastAsia"/>
          <w:lang w:eastAsia="zh-CN"/>
        </w:rPr>
        <w:t>2019年7月-12月，广东省交通运输规划研究中心承担了广东省交通运输厅研究项目《广东省内河港口岸电建设项目技术标准研究》，本标准编制组在充分调查研究广东省已建内河港口岸电设施建设使用情况的基础上，分析并解决建设使用中存在的问题，深入调查论证，在广泛征求意见的基础上，按照标准编写规则编制</w:t>
      </w:r>
      <w:r>
        <w:rPr>
          <w:rFonts w:hint="eastAsia"/>
          <w:lang w:val="en-US" w:eastAsia="zh-CN"/>
        </w:rPr>
        <w:t>标准草案，并由省交通运输厅推荐申报广东省地方标准</w:t>
      </w:r>
      <w:r>
        <w:rPr>
          <w:rFonts w:hint="eastAsia"/>
          <w:lang w:eastAsia="zh-CN"/>
        </w:rPr>
        <w:t>。</w:t>
      </w:r>
    </w:p>
    <w:p>
      <w:pPr>
        <w:ind w:firstLine="560"/>
        <w:rPr>
          <w:rFonts w:hint="eastAsia"/>
          <w:lang w:eastAsia="zh-CN"/>
        </w:rPr>
      </w:pPr>
      <w:r>
        <w:rPr>
          <w:rFonts w:hint="eastAsia"/>
          <w:lang w:val="en-US" w:eastAsia="zh-CN"/>
        </w:rPr>
        <w:t>根据</w:t>
      </w:r>
      <w:r>
        <w:rPr>
          <w:rFonts w:hint="eastAsia"/>
          <w:lang w:eastAsia="zh-CN"/>
        </w:rPr>
        <w:t>广东省市场监督管理局关于批准下达 2020 年第一批广东省地方标准制修订计划项目的通知（粤市监标准〔2020〕463 号），本标准于202</w:t>
      </w:r>
      <w:r>
        <w:rPr>
          <w:rFonts w:hint="eastAsia"/>
          <w:lang w:val="en-US" w:eastAsia="zh-CN"/>
        </w:rPr>
        <w:t>0</w:t>
      </w:r>
      <w:r>
        <w:rPr>
          <w:rFonts w:hint="eastAsia"/>
          <w:lang w:eastAsia="zh-CN"/>
        </w:rPr>
        <w:t>年</w:t>
      </w:r>
      <w:r>
        <w:rPr>
          <w:rFonts w:hint="eastAsia"/>
          <w:lang w:val="en-US" w:eastAsia="zh-CN"/>
        </w:rPr>
        <w:t>8</w:t>
      </w:r>
      <w:r>
        <w:rPr>
          <w:rFonts w:hint="eastAsia"/>
          <w:lang w:eastAsia="zh-CN"/>
        </w:rPr>
        <w:t>月纳入广东省地方标准制修订计划项目。课题组结合广东省实际，在系统总结内河岸电建设和使用经验的基础上，进一步补充完善了内河港口岸电设施建设要求的内容，深入调查论证，形成《广东省内河港口岸电设施建设技术规范》（</w:t>
      </w:r>
      <w:r>
        <w:rPr>
          <w:rFonts w:hint="eastAsia"/>
          <w:lang w:val="en-US" w:eastAsia="zh-CN"/>
        </w:rPr>
        <w:t>初稿</w:t>
      </w:r>
      <w:r>
        <w:rPr>
          <w:rFonts w:hint="eastAsia"/>
          <w:lang w:eastAsia="zh-CN"/>
        </w:rPr>
        <w:t>）。</w:t>
      </w:r>
    </w:p>
    <w:p>
      <w:pPr>
        <w:pStyle w:val="4"/>
        <w:rPr>
          <w:rFonts w:hint="eastAsia" w:eastAsia="宋体"/>
          <w:lang w:eastAsia="zh-CN"/>
        </w:rPr>
      </w:pPr>
      <w:bookmarkStart w:id="5" w:name="_Toc28224"/>
      <w:r>
        <w:rPr>
          <w:rFonts w:hint="eastAsia"/>
        </w:rPr>
        <w:t xml:space="preserve">1.2 </w:t>
      </w:r>
      <w:r>
        <w:rPr>
          <w:rFonts w:hint="eastAsia"/>
          <w:lang w:val="en-US" w:eastAsia="zh-CN"/>
        </w:rPr>
        <w:t>必要性</w:t>
      </w:r>
      <w:bookmarkEnd w:id="5"/>
    </w:p>
    <w:p>
      <w:pPr>
        <w:ind w:firstLine="560"/>
        <w:rPr>
          <w:rFonts w:hint="eastAsia"/>
        </w:rPr>
      </w:pPr>
      <w:r>
        <w:rPr>
          <w:rFonts w:hint="eastAsia"/>
        </w:rPr>
        <w:t>现行国家和行业岸电建设标准主要适用于沿海码头及内河规模以上码头，要求高，建设费用也较高，企业投资较大，超出内河小码头的实际需要，内河码头岸电设施建设通常只能参照执行。因此，研究制定适用于内河港口低压小容量岸电设施建设技术很有必要。</w:t>
      </w:r>
    </w:p>
    <w:p>
      <w:pPr>
        <w:ind w:firstLine="560"/>
        <w:rPr>
          <w:rFonts w:hint="eastAsia"/>
        </w:rPr>
      </w:pPr>
      <w:r>
        <w:rPr>
          <w:rFonts w:hint="eastAsia"/>
        </w:rPr>
        <w:t>为进一步推进我省内河船舶靠泊使用岸电，严格落实中央和国家有关部委的工作部署和要求，进一步规范我省内河港口岸电设施的建设和管养，统一船岸连接接口，作为现行国家和行业相关标准的补充，为岸电建设主体、港航企业等岸电使用主体提供技术参考，将《广东省内河港口岸电设施建设技术要求》在应用和验证的基础上，经进一步研究完善后形成《广东省内河港口岸电设施建设技术规范》非常有必要且十分迫切。</w:t>
      </w:r>
    </w:p>
    <w:p>
      <w:pPr>
        <w:ind w:firstLine="560"/>
      </w:pPr>
      <w:r>
        <w:rPr>
          <w:rFonts w:hint="eastAsia"/>
        </w:rPr>
        <w:t>本</w:t>
      </w:r>
      <w:r>
        <w:rPr>
          <w:rFonts w:hint="eastAsia"/>
          <w:lang w:val="en-US" w:eastAsia="zh-CN"/>
        </w:rPr>
        <w:t>标准</w:t>
      </w:r>
      <w:r>
        <w:rPr>
          <w:rFonts w:hint="eastAsia"/>
        </w:rPr>
        <w:t>结合广东省的实际，统一广东省内河港口岸电设施建设的技术要求、安全要求、外型要求、支付要求、后台数据管理要求等。规范岸电设施建设，统一船岸连接接口，进一步推进内河船舶使用岸电。作为现行国家和行业相关标准的补充，将为岸电建设主体、港航企业等岸电使用主体提供技术规范，实现广东省港口管理部门对内河港口岸电使用的信息化监管。也可为全国其他省份内河港口岸电设施建设提供参考借鉴，为行业相关标准规范的制修订提供技术参考和技术储备。</w:t>
      </w:r>
    </w:p>
    <w:p>
      <w:pPr>
        <w:pStyle w:val="3"/>
      </w:pPr>
      <w:bookmarkStart w:id="6" w:name="_Toc15541"/>
      <w:r>
        <w:rPr>
          <w:rFonts w:hint="eastAsia"/>
        </w:rPr>
        <w:t>第</w:t>
      </w:r>
      <w:r>
        <w:rPr>
          <w:rFonts w:hint="eastAsia"/>
          <w:lang w:val="en-US" w:eastAsia="zh-CN"/>
        </w:rPr>
        <w:t>2</w:t>
      </w:r>
      <w:r>
        <w:rPr>
          <w:rFonts w:hint="eastAsia"/>
        </w:rPr>
        <w:t xml:space="preserve">章  </w:t>
      </w:r>
      <w:r>
        <w:rPr>
          <w:rFonts w:hint="eastAsia"/>
          <w:lang w:val="en-US" w:eastAsia="zh-CN"/>
        </w:rPr>
        <w:t>原则和编制依据</w:t>
      </w:r>
      <w:bookmarkEnd w:id="6"/>
    </w:p>
    <w:p>
      <w:pPr>
        <w:pStyle w:val="4"/>
      </w:pPr>
      <w:bookmarkStart w:id="7" w:name="_Toc30812"/>
      <w:r>
        <w:rPr>
          <w:rFonts w:hint="eastAsia"/>
          <w:lang w:val="en-US" w:eastAsia="zh-CN"/>
        </w:rPr>
        <w:t>2</w:t>
      </w:r>
      <w:r>
        <w:rPr>
          <w:rFonts w:hint="eastAsia"/>
        </w:rPr>
        <w:t xml:space="preserve">.1 </w:t>
      </w:r>
      <w:r>
        <w:rPr>
          <w:rFonts w:hint="eastAsia"/>
          <w:lang w:eastAsia="zh-CN"/>
        </w:rPr>
        <w:t>遵循原则</w:t>
      </w:r>
      <w:bookmarkEnd w:id="7"/>
    </w:p>
    <w:p>
      <w:pPr>
        <w:ind w:firstLine="560"/>
        <w:rPr>
          <w:rFonts w:hint="eastAsia"/>
          <w:lang w:eastAsia="zh-CN"/>
        </w:rPr>
      </w:pPr>
      <w:r>
        <w:rPr>
          <w:rFonts w:hint="eastAsia"/>
          <w:lang w:eastAsia="zh-CN"/>
        </w:rPr>
        <w:t>本标准严格按照GB/T 1.1-2020的要求进行编写，遵循“相关性、一致性、准确性、透明性、真实性”的基本原则。</w:t>
      </w:r>
    </w:p>
    <w:p>
      <w:pPr>
        <w:pStyle w:val="4"/>
      </w:pPr>
      <w:bookmarkStart w:id="8" w:name="_Toc25408"/>
      <w:r>
        <w:rPr>
          <w:rFonts w:hint="eastAsia"/>
          <w:lang w:val="en-US" w:eastAsia="zh-CN"/>
        </w:rPr>
        <w:t>2</w:t>
      </w:r>
      <w:r>
        <w:rPr>
          <w:rFonts w:hint="eastAsia"/>
        </w:rPr>
        <w:t xml:space="preserve">.1 </w:t>
      </w:r>
      <w:r>
        <w:rPr>
          <w:rFonts w:hint="eastAsia"/>
          <w:lang w:eastAsia="zh-CN"/>
        </w:rPr>
        <w:t>编制依据</w:t>
      </w:r>
      <w:bookmarkEnd w:id="8"/>
    </w:p>
    <w:p>
      <w:pPr>
        <w:ind w:firstLine="560"/>
        <w:rPr>
          <w:rFonts w:hint="eastAsia"/>
          <w:lang w:eastAsia="zh-CN"/>
        </w:rPr>
      </w:pPr>
      <w:r>
        <w:rPr>
          <w:rFonts w:hint="eastAsia"/>
          <w:lang w:eastAsia="zh-CN"/>
        </w:rPr>
        <w:t>本标准在内容上主要参考以下文件：</w:t>
      </w:r>
    </w:p>
    <w:p>
      <w:pPr>
        <w:ind w:firstLine="560"/>
      </w:pPr>
      <w:r>
        <w:rPr>
          <w:rFonts w:hint="eastAsia"/>
        </w:rPr>
        <w:t>GB</w:t>
      </w:r>
      <w:r>
        <w:rPr>
          <w:rFonts w:hint="eastAsia"/>
          <w:lang w:eastAsia="zh-CN"/>
        </w:rPr>
        <w:t>　</w:t>
      </w:r>
      <w:r>
        <w:rPr>
          <w:rFonts w:hint="eastAsia"/>
        </w:rPr>
        <w:t>7251.1</w:t>
      </w:r>
      <w:r>
        <w:rPr>
          <w:rFonts w:hint="eastAsia"/>
          <w:lang w:eastAsia="zh-CN"/>
        </w:rPr>
        <w:t>　</w:t>
      </w:r>
      <w:r>
        <w:rPr>
          <w:rFonts w:hint="eastAsia"/>
        </w:rPr>
        <w:t>低压成套开关设备和控制设备第1部分:总则</w:t>
      </w:r>
    </w:p>
    <w:p>
      <w:pPr>
        <w:ind w:firstLine="560"/>
        <w:rPr>
          <w:szCs w:val="24"/>
        </w:rPr>
      </w:pPr>
      <w:r>
        <w:rPr>
          <w:szCs w:val="24"/>
        </w:rPr>
        <w:t>GB</w:t>
      </w:r>
      <w:r>
        <w:rPr>
          <w:rFonts w:hint="eastAsia"/>
          <w:szCs w:val="24"/>
          <w:lang w:eastAsia="zh-CN"/>
        </w:rPr>
        <w:t>　</w:t>
      </w:r>
      <w:r>
        <w:rPr>
          <w:szCs w:val="24"/>
        </w:rPr>
        <w:t>50052供配电系统设计规范</w:t>
      </w:r>
    </w:p>
    <w:p>
      <w:pPr>
        <w:ind w:left="560" w:leftChars="200" w:firstLine="0" w:firstLineChars="0"/>
        <w:rPr>
          <w:rFonts w:hint="eastAsia"/>
          <w:szCs w:val="24"/>
        </w:rPr>
      </w:pPr>
      <w:r>
        <w:rPr>
          <w:rFonts w:hint="eastAsia"/>
          <w:szCs w:val="24"/>
        </w:rPr>
        <w:t>GB/T 6829-2017 剩余电流动作保护电器（RCD）的一般要求</w:t>
      </w:r>
    </w:p>
    <w:p>
      <w:pPr>
        <w:ind w:firstLine="560"/>
        <w:rPr>
          <w:rFonts w:hint="eastAsia"/>
          <w:szCs w:val="24"/>
        </w:rPr>
      </w:pPr>
      <w:r>
        <w:rPr>
          <w:rFonts w:hint="eastAsia"/>
          <w:szCs w:val="24"/>
        </w:rPr>
        <w:t>GB</w:t>
      </w:r>
      <w:r>
        <w:rPr>
          <w:rFonts w:hint="eastAsia"/>
          <w:szCs w:val="24"/>
          <w:lang w:val="en-US" w:eastAsia="zh-CN"/>
        </w:rPr>
        <w:t>/</w:t>
      </w:r>
      <w:r>
        <w:rPr>
          <w:rFonts w:hint="eastAsia"/>
          <w:szCs w:val="24"/>
        </w:rPr>
        <w:t>T 11918.2工业用插头插座和耦合器 第2部分：带插销和插套的电器附件的尺寸兼容性和互换性要求</w:t>
      </w:r>
    </w:p>
    <w:p>
      <w:pPr>
        <w:ind w:firstLine="560"/>
        <w:rPr>
          <w:rFonts w:hint="eastAsia"/>
          <w:szCs w:val="24"/>
        </w:rPr>
      </w:pPr>
      <w:r>
        <w:rPr>
          <w:rFonts w:hint="eastAsia"/>
          <w:szCs w:val="24"/>
        </w:rPr>
        <w:t>GB/T 11918.5工业用插头插座和耦合器 第5部分：低压岸电连接系统（LVSC系统）用插头、插座、船用连接器和船用输入插座的尺寸兼容性和互换性要求</w:t>
      </w:r>
    </w:p>
    <w:p>
      <w:pPr>
        <w:ind w:left="560" w:leftChars="200" w:firstLine="0" w:firstLineChars="0"/>
      </w:pPr>
      <w:r>
        <w:t>GB/T</w:t>
      </w:r>
      <w:r>
        <w:rPr>
          <w:rFonts w:hint="eastAsia"/>
          <w:lang w:eastAsia="zh-CN"/>
        </w:rPr>
        <w:t>　</w:t>
      </w:r>
      <w:r>
        <w:t>51305</w:t>
      </w:r>
      <w:r>
        <w:rPr>
          <w:rFonts w:hint="eastAsia"/>
        </w:rPr>
        <w:t>码头船舶岸电设施工程技术标准</w:t>
      </w:r>
    </w:p>
    <w:p>
      <w:pPr>
        <w:ind w:firstLine="560"/>
        <w:rPr>
          <w:szCs w:val="24"/>
        </w:rPr>
      </w:pPr>
      <w:r>
        <w:rPr>
          <w:rFonts w:hint="eastAsia"/>
        </w:rPr>
        <w:t>GB/T</w:t>
      </w:r>
      <w:r>
        <w:rPr>
          <w:rFonts w:hint="eastAsia"/>
          <w:lang w:eastAsia="zh-CN"/>
        </w:rPr>
        <w:t>　</w:t>
      </w:r>
      <w:r>
        <w:rPr>
          <w:rFonts w:hint="eastAsia"/>
        </w:rPr>
        <w:t>4797.6</w:t>
      </w:r>
      <w:r>
        <w:rPr>
          <w:rFonts w:hint="eastAsia"/>
          <w:lang w:eastAsia="zh-CN"/>
        </w:rPr>
        <w:t>　</w:t>
      </w:r>
      <w:r>
        <w:rPr>
          <w:rFonts w:hint="eastAsia"/>
        </w:rPr>
        <w:t>环境条件分类自然环境条件尘、沙、盐雾</w:t>
      </w:r>
    </w:p>
    <w:p>
      <w:pPr>
        <w:ind w:firstLine="560"/>
      </w:pPr>
      <w:r>
        <w:t>GB/T</w:t>
      </w:r>
      <w:r>
        <w:rPr>
          <w:rFonts w:hint="eastAsia"/>
          <w:lang w:eastAsia="zh-CN"/>
        </w:rPr>
        <w:t>　</w:t>
      </w:r>
      <w:r>
        <w:t>17626.2</w:t>
      </w:r>
      <w:r>
        <w:rPr>
          <w:rFonts w:hint="eastAsia"/>
          <w:lang w:eastAsia="zh-CN"/>
        </w:rPr>
        <w:t>　</w:t>
      </w:r>
      <w:r>
        <w:rPr>
          <w:rFonts w:hint="eastAsia"/>
        </w:rPr>
        <w:t>电磁兼容试验和测量技术静电放电抗扰度试验</w:t>
      </w:r>
    </w:p>
    <w:p>
      <w:pPr>
        <w:ind w:firstLine="560"/>
      </w:pPr>
      <w:r>
        <w:t>GB/T</w:t>
      </w:r>
      <w:r>
        <w:rPr>
          <w:rFonts w:hint="eastAsia"/>
          <w:lang w:eastAsia="zh-CN"/>
        </w:rPr>
        <w:t>　</w:t>
      </w:r>
      <w:r>
        <w:t>17626.4</w:t>
      </w:r>
      <w:r>
        <w:rPr>
          <w:rFonts w:hint="eastAsia"/>
          <w:lang w:eastAsia="zh-CN"/>
        </w:rPr>
        <w:t>　</w:t>
      </w:r>
      <w:r>
        <w:rPr>
          <w:rFonts w:hint="eastAsia"/>
        </w:rPr>
        <w:t>电磁兼容试验和测量技术电快速瞬变脉冲群抗扰度试验</w:t>
      </w:r>
    </w:p>
    <w:p>
      <w:pPr>
        <w:ind w:firstLine="560"/>
      </w:pPr>
      <w:r>
        <w:rPr>
          <w:rFonts w:hint="eastAsia"/>
        </w:rPr>
        <w:t>GB/T</w:t>
      </w:r>
      <w:r>
        <w:rPr>
          <w:rFonts w:hint="eastAsia"/>
          <w:lang w:eastAsia="zh-CN"/>
        </w:rPr>
        <w:t>　</w:t>
      </w:r>
      <w:r>
        <w:rPr>
          <w:rFonts w:hint="eastAsia"/>
        </w:rPr>
        <w:t>17626.3</w:t>
      </w:r>
      <w:r>
        <w:rPr>
          <w:rFonts w:hint="eastAsia"/>
          <w:lang w:eastAsia="zh-CN"/>
        </w:rPr>
        <w:t>　</w:t>
      </w:r>
      <w:r>
        <w:rPr>
          <w:rFonts w:hint="eastAsia"/>
        </w:rPr>
        <w:t>电磁兼容试验和测量技术射频电磁场辐射抗扰度试验</w:t>
      </w:r>
    </w:p>
    <w:p>
      <w:pPr>
        <w:ind w:firstLine="560"/>
      </w:pPr>
      <w:r>
        <w:rPr>
          <w:rFonts w:hint="eastAsia"/>
        </w:rPr>
        <w:t>GB/T</w:t>
      </w:r>
      <w:r>
        <w:rPr>
          <w:rFonts w:hint="eastAsia"/>
          <w:lang w:eastAsia="zh-CN"/>
        </w:rPr>
        <w:t>　</w:t>
      </w:r>
      <w:r>
        <w:rPr>
          <w:rFonts w:hint="eastAsia"/>
        </w:rPr>
        <w:t>17626.5</w:t>
      </w:r>
      <w:r>
        <w:rPr>
          <w:rFonts w:hint="eastAsia"/>
          <w:lang w:eastAsia="zh-CN"/>
        </w:rPr>
        <w:t>　</w:t>
      </w:r>
      <w:r>
        <w:rPr>
          <w:rFonts w:hint="eastAsia"/>
        </w:rPr>
        <w:t>电磁兼容试验和测量技术浪涌(冲击)抗扰度试验</w:t>
      </w:r>
    </w:p>
    <w:p>
      <w:pPr>
        <w:ind w:firstLine="560"/>
      </w:pPr>
      <w:r>
        <w:rPr>
          <w:rFonts w:hint="eastAsia"/>
        </w:rPr>
        <w:t>JTS155码头岸电设施建设技术规范</w:t>
      </w:r>
    </w:p>
    <w:p>
      <w:pPr>
        <w:ind w:firstLine="560"/>
      </w:pPr>
      <w:r>
        <w:rPr>
          <w:rFonts w:hint="eastAsia"/>
        </w:rPr>
        <w:t>JTS</w:t>
      </w:r>
      <w:r>
        <w:rPr>
          <w:rFonts w:hint="eastAsia"/>
          <w:lang w:eastAsia="zh-CN"/>
        </w:rPr>
        <w:t>　</w:t>
      </w:r>
      <w:r>
        <w:rPr>
          <w:rFonts w:hint="eastAsia"/>
        </w:rPr>
        <w:t>155-1码头岸电设施检测技术规范</w:t>
      </w:r>
    </w:p>
    <w:p>
      <w:pPr>
        <w:ind w:firstLine="560"/>
      </w:pPr>
      <w:r>
        <w:rPr>
          <w:rFonts w:hint="eastAsia"/>
        </w:rPr>
        <w:t>DL/T</w:t>
      </w:r>
      <w:r>
        <w:rPr>
          <w:rFonts w:hint="eastAsia"/>
          <w:lang w:eastAsia="zh-CN"/>
        </w:rPr>
        <w:t>　</w:t>
      </w:r>
      <w:r>
        <w:rPr>
          <w:rFonts w:hint="eastAsia"/>
        </w:rPr>
        <w:t>448</w:t>
      </w:r>
      <w:r>
        <w:rPr>
          <w:rFonts w:hint="eastAsia"/>
          <w:lang w:eastAsia="zh-CN"/>
        </w:rPr>
        <w:t>　</w:t>
      </w:r>
      <w:r>
        <w:rPr>
          <w:rFonts w:hint="eastAsia"/>
        </w:rPr>
        <w:t>电能计量装置技术管理规程</w:t>
      </w:r>
    </w:p>
    <w:p>
      <w:pPr>
        <w:ind w:firstLine="560"/>
      </w:pPr>
      <w:r>
        <w:rPr>
          <w:rFonts w:hint="eastAsia"/>
        </w:rPr>
        <w:t>内河码头船舶岸电设施建设技术指南</w:t>
      </w:r>
    </w:p>
    <w:p>
      <w:pPr>
        <w:pStyle w:val="3"/>
      </w:pPr>
      <w:bookmarkStart w:id="9" w:name="_Toc20539"/>
      <w:r>
        <w:rPr>
          <w:rFonts w:hint="eastAsia"/>
        </w:rPr>
        <w:t>第</w:t>
      </w:r>
      <w:r>
        <w:rPr>
          <w:rFonts w:hint="eastAsia"/>
          <w:lang w:val="en-US" w:eastAsia="zh-CN"/>
        </w:rPr>
        <w:t>3</w:t>
      </w:r>
      <w:r>
        <w:rPr>
          <w:rFonts w:hint="eastAsia"/>
        </w:rPr>
        <w:t xml:space="preserve">章  </w:t>
      </w:r>
      <w:r>
        <w:rPr>
          <w:rFonts w:hint="eastAsia"/>
          <w:lang w:eastAsia="zh-CN"/>
        </w:rPr>
        <w:t>与现行相关标准的异同</w:t>
      </w:r>
      <w:bookmarkEnd w:id="9"/>
    </w:p>
    <w:p>
      <w:pPr>
        <w:pStyle w:val="4"/>
        <w:rPr>
          <w:rFonts w:hint="eastAsia" w:eastAsia="宋体"/>
          <w:lang w:val="en-US" w:eastAsia="zh-CN"/>
        </w:rPr>
      </w:pPr>
      <w:bookmarkStart w:id="10" w:name="_Toc10946"/>
      <w:r>
        <w:rPr>
          <w:rFonts w:hint="eastAsia"/>
          <w:lang w:val="en-US" w:eastAsia="zh-CN"/>
        </w:rPr>
        <w:t>3</w:t>
      </w:r>
      <w:r>
        <w:rPr>
          <w:rFonts w:hint="eastAsia"/>
        </w:rPr>
        <w:t>.</w:t>
      </w:r>
      <w:r>
        <w:rPr>
          <w:rFonts w:hint="eastAsia"/>
          <w:lang w:val="en-US" w:eastAsia="zh-CN"/>
        </w:rPr>
        <w:t>1</w:t>
      </w:r>
      <w:r>
        <w:rPr>
          <w:rFonts w:hint="eastAsia"/>
        </w:rPr>
        <w:t xml:space="preserve"> 现行相关标准</w:t>
      </w:r>
      <w:r>
        <w:rPr>
          <w:rFonts w:hint="eastAsia"/>
          <w:lang w:eastAsia="zh-CN"/>
        </w:rPr>
        <w:t>指导内河小容量岸电设施建设的不足</w:t>
      </w:r>
      <w:bookmarkEnd w:id="10"/>
    </w:p>
    <w:p>
      <w:pPr>
        <w:ind w:firstLine="560"/>
        <w:rPr>
          <w:rFonts w:hint="eastAsia"/>
        </w:rPr>
      </w:pPr>
      <w:r>
        <w:rPr>
          <w:rFonts w:hint="eastAsia"/>
        </w:rPr>
        <w:t>目前，我国港口岸电设施的建设可参考的标准主要有2个，分别为推荐性国家标准《码头船舶岸电设施工程技术标准 》（GB/T51305-2018）和强制性行业标准《码头岸电设施建设技术规范》（JTS155-2019）。主要适用于沿海码头或者大型码头，涉及到高压变频，技术要求高，建设费用较高，企业投资较大，超出内河小码头的实际需要。内河码头岸电设施建设通常只能参照执行。</w:t>
      </w:r>
    </w:p>
    <w:p>
      <w:pPr>
        <w:ind w:firstLine="560"/>
        <w:rPr>
          <w:rFonts w:hint="eastAsia"/>
        </w:rPr>
      </w:pPr>
      <w:r>
        <w:rPr>
          <w:rFonts w:hint="eastAsia"/>
        </w:rPr>
        <w:t>《码头岸电设施建设技术规范》（JTS155-2019）虽然增加了内河码头岸电设施的技术要求，但是主要给出了内河码头岸电设施建设的总体要求，对于指导广东省内河港口小容量岸电设施的具体建设和使用仍存在诸多不足，主要体现在：</w:t>
      </w:r>
    </w:p>
    <w:p>
      <w:pPr>
        <w:ind w:firstLine="560"/>
        <w:rPr>
          <w:rFonts w:hint="eastAsia"/>
        </w:rPr>
      </w:pPr>
      <w:r>
        <w:rPr>
          <w:rFonts w:hint="eastAsia"/>
        </w:rPr>
        <w:t>（1）岸电设施供电容量的要求需进一步完善和细化。《码头岸电设施建设技术规范》中码头岸电设施供电容量只给出了一般规定，要求岸电设施供电容量应综合考虑泊位允许靠泊船舶中单台最大发电机组额定容量、泊位利用情况和船舶用电需求，并留有余量。根据广泛调研并查阅相关文献，一艘船上一般安装有2-3台辅机，靠泊期间一般使用功率较小的辅机发电，一般来说靠港船舶辅机约按额定功率的20-60％之间运行。</w:t>
      </w:r>
    </w:p>
    <w:p>
      <w:pPr>
        <w:ind w:firstLine="560"/>
        <w:rPr>
          <w:rFonts w:hint="eastAsia"/>
        </w:rPr>
      </w:pPr>
      <w:r>
        <w:rPr>
          <w:rFonts w:hint="eastAsia"/>
        </w:rPr>
        <w:t>根据对广东省内河靠港船舶使用岸电调研，靠泊广东省内河码头的船舶，绝大多数需要接入单相220V的岸电电压，少部分船舶（如有冷柜）需要接入三相380V电压。靠泊船舶所需的供电容量较小。经测算，单相小容量电源的系统额定输出容量单个接口容量不小于7kVA，三相小容量电源的系统额定输出容量单个接口不小于20kVA即可满足需求。因此，需要结合我省内河船舶靠泊使用岸电的实际需求，进一步完善和细化规定小容量岸电设施的供电容量范围及其相关配套要求，使岸电设施供电容量既满足靠港船舶的用电需求，又不会富余太多，尽可能减少企业的建设成本，为广东省内河港口岸电设施供电容量的具体设置提供指导。</w:t>
      </w:r>
    </w:p>
    <w:p>
      <w:pPr>
        <w:ind w:firstLine="560"/>
        <w:rPr>
          <w:rFonts w:hint="eastAsia"/>
        </w:rPr>
      </w:pPr>
      <w:r>
        <w:rPr>
          <w:rFonts w:hint="eastAsia"/>
        </w:rPr>
        <w:t>（2）通信功能的要求需进一步完善和细化。《码头岸电设施建设技术规范》中通信系统只要求支持通用的工业通信接口和协议，具有第三方系统接入的软硬件接口。传统的岸电设施是一台单机设备，为通过“互联网+”手段使建成的岸电设施具有码头岸电使用数据的传输和报送功能，需要进一步完善和细化相关通信功能。要求岸电设施具备广东省港口管理信息系统通信的能力，且岸电设施具有远程升级功能，能够采集岸电电源设备的运行数据并实时上传，同时具备接收控制调节指令的能力，实现广东省港口管理部门对内河港口岸电使用的信息化监管。</w:t>
      </w:r>
    </w:p>
    <w:p>
      <w:pPr>
        <w:ind w:firstLine="560"/>
        <w:rPr>
          <w:rFonts w:hint="eastAsia"/>
        </w:rPr>
      </w:pPr>
      <w:r>
        <w:rPr>
          <w:rFonts w:hint="eastAsia"/>
        </w:rPr>
        <w:t>（3）支付方式需要满足便捷化需求。《码头岸电设施建设技术规范》中没有支付方式的要求，传统的岸电设施一般只支持现金或者购卡刷卡支付。为方便船舶使用岸电，需要结合目前使用广泛的移动支付手段，开发支持微信支付等便捷化支付方式。相比较传统模式，这种支付方式简单便捷，技术成熟、普及面较广，且没有第三方支付平台分取岸电服务费，可直接减少岸电服务费的定价，有利于后期岸电的推广使用。</w:t>
      </w:r>
    </w:p>
    <w:p>
      <w:pPr>
        <w:ind w:firstLine="560"/>
        <w:rPr>
          <w:rFonts w:hint="eastAsia"/>
        </w:rPr>
      </w:pPr>
      <w:r>
        <w:rPr>
          <w:rFonts w:hint="eastAsia"/>
        </w:rPr>
        <w:t>（4）船岸连接接口相关要求需要进一步完善和细化。《码头岸电设施建设技术规范》中只要求供电端宜为插孔形式，受电端宜为插针形式。为保障船舶安全使用岸电，需要规定落地式岸电设施插座宜采用下斜式安装方式。考虑到船岸连接电缆及插头一般由船舶自配，电缆插头要与岸电设施插座一致才能使用岸电，为方便船舶在全省使用岸电，需要统一全省岸电设施船岸连接接口插座和插孔的规格等。</w:t>
      </w:r>
    </w:p>
    <w:p>
      <w:pPr>
        <w:ind w:firstLine="560"/>
        <w:rPr>
          <w:rFonts w:hint="eastAsia"/>
        </w:rPr>
      </w:pPr>
      <w:r>
        <w:rPr>
          <w:rFonts w:hint="eastAsia"/>
        </w:rPr>
        <w:t>（5）岸电设施壳体材质、外观和标识等相关要求需要进一步完善和细化。《码头岸电设施建设技术规范》中没有岸电设施壳体材质、外观尺寸要求；岸电设施要求有标识但没有标识尺寸及张贴位置等要求。为方便对全省内河港口岸电设施的统一管理，需要全省统一。</w:t>
      </w:r>
    </w:p>
    <w:p>
      <w:pPr>
        <w:pStyle w:val="4"/>
        <w:rPr>
          <w:rFonts w:hint="eastAsia"/>
          <w:lang w:eastAsia="zh-CN"/>
        </w:rPr>
      </w:pPr>
      <w:bookmarkStart w:id="11" w:name="_Toc30581"/>
      <w:r>
        <w:rPr>
          <w:rFonts w:hint="eastAsia"/>
          <w:lang w:val="en-US" w:eastAsia="zh-CN"/>
        </w:rPr>
        <w:t>3</w:t>
      </w:r>
      <w:r>
        <w:rPr>
          <w:rFonts w:hint="eastAsia"/>
        </w:rPr>
        <w:t>.</w:t>
      </w:r>
      <w:r>
        <w:rPr>
          <w:rFonts w:hint="eastAsia"/>
          <w:lang w:val="en-US" w:eastAsia="zh-CN"/>
        </w:rPr>
        <w:t>2</w:t>
      </w:r>
      <w:r>
        <w:rPr>
          <w:rFonts w:hint="eastAsia"/>
        </w:rPr>
        <w:t xml:space="preserve"> </w:t>
      </w:r>
      <w:r>
        <w:rPr>
          <w:rFonts w:hint="eastAsia"/>
          <w:lang w:eastAsia="zh-CN"/>
        </w:rPr>
        <w:t>本规范补充完善的内容</w:t>
      </w:r>
      <w:bookmarkEnd w:id="11"/>
    </w:p>
    <w:p>
      <w:pPr>
        <w:rPr>
          <w:rFonts w:hint="eastAsia"/>
          <w:lang w:eastAsia="zh-CN"/>
        </w:rPr>
      </w:pPr>
      <w:r>
        <w:rPr>
          <w:rFonts w:hint="eastAsia"/>
          <w:lang w:eastAsia="zh-CN"/>
        </w:rPr>
        <w:t>作为现行国家和行业相关标准的补充，相对现行国家标准《码头船舶岸电设施工程技术标准 》（GB/T51305-2018）和行业标准《码头岸电设施建设技术规范》（JTS155-2019），本规范在现行相关标准基础上，进一步完善和补充了以下内容：</w:t>
      </w:r>
    </w:p>
    <w:p>
      <w:pPr>
        <w:rPr>
          <w:rFonts w:hint="eastAsia"/>
          <w:lang w:eastAsia="zh-CN"/>
        </w:rPr>
      </w:pPr>
      <w:r>
        <w:rPr>
          <w:rFonts w:hint="eastAsia"/>
          <w:lang w:eastAsia="zh-CN"/>
        </w:rPr>
        <w:t>（1）结合广东省实际需求，细化岸电设施供电容量。岸电电源设备的系统额定输出容量等级宜采用系列为：7kVA、20kVA、40kVA、80kVA。要求三相岸电电源设备的系统额定输出容量单个接口应不小于20kVA，单相岸电电源设备单个接口应不小于7kVA。如1套岸电设施同时供两艘停靠船舶使用，则岸电电源设备需配置两组独立输出的接口。接口采用防水插座，每组接口根据需要可选用三相插座或单相插座，接口载流量要求选用32A及以上。</w:t>
      </w:r>
    </w:p>
    <w:p>
      <w:pPr>
        <w:rPr>
          <w:rFonts w:hint="eastAsia"/>
          <w:lang w:eastAsia="zh-CN"/>
        </w:rPr>
      </w:pPr>
      <w:r>
        <w:rPr>
          <w:rFonts w:hint="eastAsia"/>
          <w:lang w:eastAsia="zh-CN"/>
        </w:rPr>
        <w:t>（2）通信功能的要求。要求岸电电源设备应具有本地控制终端，且本地控制终端应采用无线通信接口，具备同时与广东省港口管理信息系统和设备运营管理平台通信的能力。设备具有远程升级功能，能够采集岸电电源设备的运行数据并实时上传，同时具备接收控制调节指令的能力；岸电电源设备上传的数据支持硬件非对称加密算法SH2进行加密。</w:t>
      </w:r>
    </w:p>
    <w:p>
      <w:pPr>
        <w:rPr>
          <w:rFonts w:hint="eastAsia"/>
          <w:lang w:eastAsia="zh-CN"/>
        </w:rPr>
      </w:pPr>
      <w:r>
        <w:rPr>
          <w:rFonts w:hint="eastAsia"/>
          <w:lang w:eastAsia="zh-CN"/>
        </w:rPr>
        <w:t>（3）计费及付款模式要求。要求岸电设备可扫描用户手机的二维码，获取用户ID，启用岸电设备；付款方式需包含微信支付等线上支付、月结、现金等支付选项。</w:t>
      </w:r>
    </w:p>
    <w:p>
      <w:pPr>
        <w:rPr>
          <w:rFonts w:hint="eastAsia"/>
          <w:lang w:eastAsia="zh-CN"/>
        </w:rPr>
      </w:pPr>
      <w:r>
        <w:rPr>
          <w:rFonts w:hint="eastAsia"/>
          <w:lang w:eastAsia="zh-CN"/>
        </w:rPr>
        <w:t>（4）船岸连接接口要求。要求岸电接口分布在岸电电源设备两侧，落地式岸电设施插座宜采用下斜式安装方式，防护等级不低于IP67；规定了岸电电源设备连接器电气参数及功能；规定了三相岸电电源设备连接器应包含5对触头，单相岸电电源设备连接器应包含3对触头；额定电流63A及以上岸电电源设备还应额外设置一组接插件，接插件应符合《工业用插头插座和耦合器》（GB/T 11918.5）的有关规定，三相岸电电源设备连接器应包含8对触头，其中P1、P2表示控制触头，S+、S-表示通信触头，通过P1和P2一组控制触头实现岸侧电气连锁；规定了船岸连接方式及电缆要求。</w:t>
      </w:r>
    </w:p>
    <w:p>
      <w:pPr>
        <w:rPr>
          <w:rFonts w:hint="eastAsia"/>
          <w:lang w:eastAsia="zh-CN"/>
        </w:rPr>
      </w:pPr>
      <w:r>
        <w:rPr>
          <w:rFonts w:hint="eastAsia"/>
          <w:lang w:eastAsia="zh-CN"/>
        </w:rPr>
        <w:t>（</w:t>
      </w:r>
      <w:r>
        <w:rPr>
          <w:rFonts w:hint="eastAsia"/>
          <w:lang w:val="en-US" w:eastAsia="zh-CN"/>
        </w:rPr>
        <w:t>5</w:t>
      </w:r>
      <w:r>
        <w:rPr>
          <w:rFonts w:hint="eastAsia"/>
          <w:lang w:eastAsia="zh-CN"/>
        </w:rPr>
        <w:t>）岸电设施外观及标识要求。规定岸电电源设备壳体应采用全封闭结构，密封性好，整体无外露锐角。表面涂覆色泽层应均匀光洁，不起泡、不龟裂、不脱落；外壳主要部件应选用物理性能优良、耐候性好、抗老化的金属和非金属绝缘材质。金属板材厚度不小于1.5毫米，与强电接触部位应采用非金属绝缘材质，确保人身安全。岸电电源设备可根据码头泊位实际情况选用落地式、壁挂式、卧式三种形式。落地式设备四周应设置304不锈钢防护栏。外壳应统一印“广东岸电”标识。并给出了岸电设施外观和标识的详细设计参考文件。</w:t>
      </w:r>
    </w:p>
    <w:p>
      <w:pPr>
        <w:pStyle w:val="4"/>
        <w:bidi w:val="0"/>
        <w:rPr>
          <w:rFonts w:hint="eastAsia"/>
          <w:lang w:eastAsia="zh-CN"/>
        </w:rPr>
      </w:pPr>
      <w:bookmarkStart w:id="12" w:name="_Toc31352"/>
      <w:r>
        <w:rPr>
          <w:rFonts w:hint="eastAsia"/>
          <w:lang w:val="en-US" w:eastAsia="zh-CN"/>
        </w:rPr>
        <w:t>3</w:t>
      </w:r>
      <w:r>
        <w:rPr>
          <w:rFonts w:hint="eastAsia"/>
        </w:rPr>
        <w:t>.</w:t>
      </w:r>
      <w:r>
        <w:rPr>
          <w:rFonts w:hint="eastAsia"/>
          <w:lang w:val="en-US" w:eastAsia="zh-CN"/>
        </w:rPr>
        <w:t xml:space="preserve">3 </w:t>
      </w:r>
      <w:r>
        <w:rPr>
          <w:rFonts w:hint="eastAsia"/>
          <w:lang w:eastAsia="zh-CN"/>
        </w:rPr>
        <w:t>本规范主要创新点</w:t>
      </w:r>
      <w:bookmarkEnd w:id="12"/>
    </w:p>
    <w:p>
      <w:pPr>
        <w:ind w:firstLine="560"/>
        <w:rPr>
          <w:rFonts w:hint="eastAsia"/>
        </w:rPr>
      </w:pPr>
      <w:r>
        <w:rPr>
          <w:rFonts w:hint="eastAsia"/>
        </w:rPr>
        <w:t>本</w:t>
      </w:r>
      <w:r>
        <w:rPr>
          <w:rFonts w:hint="eastAsia"/>
          <w:lang w:eastAsia="zh-CN"/>
        </w:rPr>
        <w:t>规范</w:t>
      </w:r>
      <w:r>
        <w:rPr>
          <w:rFonts w:hint="eastAsia"/>
        </w:rPr>
        <w:t>对内河岸电设施的建设和使用规定齐全，符合强制性行业标准《码头岸电设施建设技术规范》（JTS155-2019）和国家有关规定。该技术在国家和行业相关标准的基础上，进一步补充和细化了适应内河港口特点的输出配置及容量要求、通信功能要求、计费及付款模式、船岸连接方式及接口要求、外观和标识要求等。</w:t>
      </w:r>
    </w:p>
    <w:p>
      <w:pPr>
        <w:ind w:firstLine="560"/>
        <w:rPr>
          <w:rFonts w:hint="eastAsia"/>
        </w:rPr>
      </w:pPr>
      <w:r>
        <w:rPr>
          <w:rFonts w:hint="eastAsia"/>
        </w:rPr>
        <w:t>（1）在满足内河靠港船舶靠泊使用岸电的需求下，最大程度节省了建设费用。根据广泛调研并查阅相关文献，经测算，给出了岸电设施供电容量的最小要求，满足绝大多数内河及沿海小吨位码头靠泊船舶的用电需求。绝大部分码头富余的供电容量可满足岸电设施供电容量的最小要求，从而节省的增容改造费用，最大程度节省了建设费用。</w:t>
      </w:r>
    </w:p>
    <w:p>
      <w:pPr>
        <w:ind w:firstLine="560"/>
        <w:rPr>
          <w:rFonts w:hint="eastAsia"/>
        </w:rPr>
      </w:pPr>
      <w:r>
        <w:rPr>
          <w:rFonts w:hint="eastAsia"/>
        </w:rPr>
        <w:t>（2）在确保安全的条件下，方便了船岸接电使用。对岸电设施的接地和安全保护提出了要求，确保岸电使用安全。要求岸电设备可扫描用户手机的二维码，获取用户ID，启用岸电设备，并支持微信支付等便捷化支付方式，方便靠港船舶使用。</w:t>
      </w:r>
    </w:p>
    <w:p>
      <w:pPr>
        <w:ind w:firstLine="560"/>
        <w:rPr>
          <w:rFonts w:hint="eastAsia"/>
        </w:rPr>
      </w:pPr>
      <w:r>
        <w:rPr>
          <w:rFonts w:hint="eastAsia"/>
        </w:rPr>
        <w:t>（3）支付方式需要满足便捷化需求。为方便船舶使用岸电，需要支持微信支付等便捷化支付方式。付款方式需包含微信支付、月结、现金等支付选项。相比较传统模式，这种支付方式简单便捷，技术成熟、普及面较广，且没有第三方支付平台分取岸电服务费，可直接减少岸电服务费的定价，有利于后期岸电的推广使用。</w:t>
      </w:r>
    </w:p>
    <w:p>
      <w:pPr>
        <w:ind w:firstLine="560"/>
        <w:rPr>
          <w:rFonts w:hint="eastAsia"/>
        </w:rPr>
      </w:pPr>
      <w:r>
        <w:rPr>
          <w:rFonts w:hint="eastAsia"/>
        </w:rPr>
        <w:t>（4）通信要求</w:t>
      </w:r>
      <w:r>
        <w:rPr>
          <w:rFonts w:hint="eastAsia"/>
          <w:lang w:eastAsia="zh-CN"/>
        </w:rPr>
        <w:t>及</w:t>
      </w:r>
      <w:r>
        <w:rPr>
          <w:rFonts w:hint="eastAsia"/>
        </w:rPr>
        <w:t>区域监管平台。要求岸电设施具备与区域监管平台通信的能力，岸电设施具有码头岸电使用数据的传输和报送功能，实现港口管理部门对内河港口岸电使用的信息化监管。</w:t>
      </w:r>
    </w:p>
    <w:p>
      <w:pPr>
        <w:ind w:firstLine="560"/>
      </w:pPr>
    </w:p>
    <w:p>
      <w:pPr>
        <w:pStyle w:val="3"/>
        <w:rPr>
          <w:rFonts w:hint="eastAsia" w:eastAsia="宋体"/>
          <w:lang w:val="en-US" w:eastAsia="zh-CN"/>
        </w:rPr>
      </w:pPr>
      <w:bookmarkStart w:id="13" w:name="_Toc31821"/>
      <w:r>
        <w:rPr>
          <w:rFonts w:hint="eastAsia"/>
          <w:lang w:eastAsia="zh-CN"/>
        </w:rPr>
        <w:t>第</w:t>
      </w:r>
      <w:r>
        <w:rPr>
          <w:rFonts w:hint="eastAsia"/>
          <w:lang w:val="en-US" w:eastAsia="zh-CN"/>
        </w:rPr>
        <w:t>4</w:t>
      </w:r>
      <w:r>
        <w:rPr>
          <w:rFonts w:hint="eastAsia"/>
          <w:lang w:eastAsia="zh-CN"/>
        </w:rPr>
        <w:t>章</w:t>
      </w:r>
      <w:r>
        <w:rPr>
          <w:rFonts w:hint="eastAsia"/>
          <w:lang w:val="en-US" w:eastAsia="zh-CN"/>
        </w:rPr>
        <w:t xml:space="preserve"> 本规范主要内容</w:t>
      </w:r>
      <w:bookmarkEnd w:id="13"/>
    </w:p>
    <w:p>
      <w:pPr>
        <w:ind w:firstLine="560"/>
        <w:rPr>
          <w:rFonts w:hint="eastAsia"/>
        </w:rPr>
      </w:pPr>
      <w:r>
        <w:rPr>
          <w:rFonts w:hint="eastAsia"/>
        </w:rPr>
        <w:t>《广东省内河港口岸电设施建设</w:t>
      </w:r>
      <w:r>
        <w:rPr>
          <w:rFonts w:hint="eastAsia"/>
          <w:lang w:eastAsia="zh-CN"/>
        </w:rPr>
        <w:t>技术规范</w:t>
      </w:r>
      <w:r>
        <w:rPr>
          <w:rFonts w:hint="eastAsia"/>
        </w:rPr>
        <w:t>》共</w:t>
      </w:r>
      <w:r>
        <w:rPr>
          <w:rFonts w:hint="eastAsia"/>
          <w:lang w:val="en-US" w:eastAsia="zh-CN"/>
        </w:rPr>
        <w:t>9</w:t>
      </w:r>
      <w:r>
        <w:rPr>
          <w:rFonts w:hint="eastAsia"/>
        </w:rPr>
        <w:t>章，主要包括适用范围、规范性引用文件、</w:t>
      </w:r>
      <w:r>
        <w:rPr>
          <w:rFonts w:hint="eastAsia"/>
          <w:lang w:val="en-US" w:eastAsia="zh-CN"/>
        </w:rPr>
        <w:t>术语和定义、基本</w:t>
      </w:r>
      <w:r>
        <w:rPr>
          <w:rFonts w:hint="eastAsia"/>
        </w:rPr>
        <w:t>要求、功能要求、性能要求、安全性及电磁兼容要求、安装要求、选装件要求等内容。</w:t>
      </w:r>
    </w:p>
    <w:p>
      <w:pPr>
        <w:pStyle w:val="179"/>
        <w:spacing w:before="312" w:after="312"/>
        <w:ind w:left="0"/>
        <w:rPr>
          <w:szCs w:val="21"/>
        </w:rPr>
      </w:pPr>
      <w:bookmarkStart w:id="14" w:name="_Toc17319"/>
      <w:bookmarkStart w:id="15" w:name="_Toc2426"/>
      <w:r>
        <w:rPr>
          <w:rFonts w:hint="eastAsia"/>
          <w:szCs w:val="21"/>
        </w:rPr>
        <w:t>范围</w:t>
      </w:r>
      <w:bookmarkEnd w:id="14"/>
      <w:bookmarkEnd w:id="15"/>
    </w:p>
    <w:p>
      <w:pPr>
        <w:pStyle w:val="179"/>
        <w:spacing w:before="312" w:after="312"/>
        <w:ind w:left="0"/>
        <w:rPr>
          <w:szCs w:val="21"/>
        </w:rPr>
      </w:pPr>
      <w:bookmarkStart w:id="16" w:name="_Toc456099342"/>
      <w:bookmarkStart w:id="17" w:name="_Toc460146456"/>
      <w:bookmarkStart w:id="18" w:name="_Toc9341300"/>
      <w:bookmarkStart w:id="19" w:name="_Toc25462"/>
      <w:bookmarkStart w:id="20" w:name="_Toc4881"/>
      <w:bookmarkStart w:id="21" w:name="_Toc450050440"/>
      <w:bookmarkStart w:id="22" w:name="_Toc465623572"/>
      <w:bookmarkStart w:id="23" w:name="_Toc14361"/>
      <w:bookmarkStart w:id="24" w:name="_Toc460009354"/>
      <w:bookmarkStart w:id="25" w:name="_Toc457755113"/>
      <w:bookmarkStart w:id="26" w:name="_Toc489909991"/>
      <w:bookmarkStart w:id="27" w:name="_Toc469246386"/>
      <w:bookmarkStart w:id="28" w:name="_Toc469247424"/>
      <w:bookmarkStart w:id="29" w:name="_Toc456100379"/>
      <w:bookmarkStart w:id="30" w:name="_Toc448777207"/>
      <w:bookmarkStart w:id="31" w:name="_Toc468478641"/>
      <w:bookmarkStart w:id="32" w:name="_Toc465503552"/>
      <w:bookmarkStart w:id="33" w:name="_Toc455255979"/>
      <w:bookmarkStart w:id="34" w:name="_Toc449825946"/>
      <w:bookmarkStart w:id="35" w:name="_Toc469085676"/>
      <w:bookmarkStart w:id="36" w:name="_Toc455256046"/>
      <w:bookmarkStart w:id="37" w:name="_Toc465623608"/>
      <w:bookmarkStart w:id="38" w:name="_Toc469085620"/>
      <w:bookmarkStart w:id="39" w:name="_Toc460012353"/>
      <w:bookmarkStart w:id="40" w:name="_Toc450050491"/>
      <w:bookmarkStart w:id="41" w:name="_Toc457753524"/>
      <w:bookmarkStart w:id="42" w:name="_Toc465503470"/>
      <w:bookmarkStart w:id="43" w:name="_Toc455669877"/>
      <w:bookmarkStart w:id="44" w:name="_Toc455567019"/>
      <w:bookmarkStart w:id="45" w:name="_Toc465503444"/>
      <w:bookmarkStart w:id="46" w:name="_Toc5033"/>
      <w:bookmarkStart w:id="47" w:name="_Toc466235202"/>
      <w:bookmarkStart w:id="48" w:name="_Toc468303779"/>
      <w:bookmarkStart w:id="49" w:name="_Toc32441"/>
      <w:bookmarkStart w:id="50" w:name="_Toc27459"/>
      <w:r>
        <w:rPr>
          <w:rFonts w:hint="eastAsia"/>
          <w:szCs w:val="21"/>
        </w:rPr>
        <w:t>规范性引用文件</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179"/>
        <w:spacing w:before="312" w:after="312"/>
        <w:ind w:left="0"/>
      </w:pPr>
      <w:bookmarkStart w:id="51" w:name="_Toc29455"/>
      <w:r>
        <w:rPr>
          <w:rFonts w:hint="eastAsia"/>
          <w:lang w:val="en-US" w:eastAsia="zh-CN"/>
        </w:rPr>
        <w:t>术语和定义</w:t>
      </w:r>
      <w:bookmarkEnd w:id="51"/>
    </w:p>
    <w:p>
      <w:pPr>
        <w:pStyle w:val="179"/>
        <w:spacing w:before="312" w:after="312"/>
        <w:ind w:left="0"/>
        <w:rPr>
          <w:szCs w:val="21"/>
        </w:rPr>
      </w:pPr>
      <w:bookmarkStart w:id="52" w:name="_Toc20744"/>
      <w:bookmarkStart w:id="53" w:name="_Toc13209"/>
      <w:bookmarkStart w:id="54" w:name="_Toc23195"/>
      <w:bookmarkStart w:id="55" w:name="_Toc4265"/>
      <w:r>
        <w:rPr>
          <w:rFonts w:hint="eastAsia"/>
          <w:lang w:val="en-US" w:eastAsia="zh-CN"/>
        </w:rPr>
        <w:t>基本</w:t>
      </w:r>
      <w:r>
        <w:t>要求</w:t>
      </w:r>
      <w:bookmarkEnd w:id="52"/>
      <w:bookmarkEnd w:id="53"/>
      <w:bookmarkEnd w:id="54"/>
      <w:bookmarkEnd w:id="55"/>
    </w:p>
    <w:p>
      <w:pPr>
        <w:pStyle w:val="176"/>
      </w:pPr>
      <w:r>
        <w:rPr>
          <w:rFonts w:hint="eastAsia"/>
          <w:lang w:val="en-US" w:eastAsia="zh-CN"/>
        </w:rPr>
        <w:t>一般要求</w:t>
      </w:r>
    </w:p>
    <w:p>
      <w:pPr>
        <w:pStyle w:val="176"/>
        <w:rPr>
          <w:rFonts w:hint="eastAsia"/>
        </w:rPr>
      </w:pPr>
      <w:bookmarkStart w:id="56" w:name="_Toc6296"/>
      <w:bookmarkStart w:id="57" w:name="_Toc17115"/>
      <w:r>
        <w:t>系统组成</w:t>
      </w:r>
      <w:bookmarkEnd w:id="56"/>
      <w:bookmarkEnd w:id="57"/>
    </w:p>
    <w:p>
      <w:pPr>
        <w:pStyle w:val="176"/>
        <w:rPr>
          <w:rFonts w:hint="eastAsia"/>
        </w:rPr>
      </w:pPr>
      <w:bookmarkStart w:id="58" w:name="_Toc23125"/>
      <w:bookmarkStart w:id="59" w:name="_Toc31089"/>
      <w:r>
        <w:t>壳体及材质要求</w:t>
      </w:r>
      <w:bookmarkEnd w:id="58"/>
      <w:bookmarkEnd w:id="59"/>
    </w:p>
    <w:p>
      <w:pPr>
        <w:pStyle w:val="176"/>
        <w:rPr>
          <w:rFonts w:hint="eastAsia"/>
        </w:rPr>
      </w:pPr>
      <w:bookmarkStart w:id="60" w:name="_Toc12322"/>
      <w:bookmarkStart w:id="61" w:name="_Toc21086"/>
      <w:r>
        <w:t>外观及标识要求</w:t>
      </w:r>
      <w:bookmarkEnd w:id="60"/>
      <w:bookmarkEnd w:id="61"/>
    </w:p>
    <w:p>
      <w:pPr>
        <w:pStyle w:val="176"/>
        <w:rPr>
          <w:rFonts w:hint="eastAsia"/>
        </w:rPr>
      </w:pPr>
      <w:bookmarkStart w:id="62" w:name="_Toc25853"/>
      <w:bookmarkStart w:id="63" w:name="_Toc22049"/>
      <w:r>
        <w:t>连接方式</w:t>
      </w:r>
      <w:bookmarkEnd w:id="62"/>
      <w:bookmarkEnd w:id="63"/>
    </w:p>
    <w:p>
      <w:pPr>
        <w:pStyle w:val="175"/>
        <w:rPr>
          <w:rFonts w:hint="eastAsia"/>
        </w:rPr>
      </w:pPr>
      <w:r>
        <w:rPr>
          <w:rFonts w:hint="eastAsia"/>
        </w:rPr>
        <w:t>船岸连接</w:t>
      </w:r>
    </w:p>
    <w:p>
      <w:pPr>
        <w:pStyle w:val="175"/>
        <w:rPr>
          <w:rFonts w:hint="eastAsia"/>
        </w:rPr>
      </w:pPr>
      <w:r>
        <w:rPr>
          <w:rFonts w:hint="eastAsia"/>
        </w:rPr>
        <w:t>岸电电源与</w:t>
      </w:r>
      <w:r>
        <w:t>进线连接</w:t>
      </w:r>
    </w:p>
    <w:p>
      <w:pPr>
        <w:pStyle w:val="176"/>
        <w:rPr>
          <w:rFonts w:hint="eastAsia"/>
        </w:rPr>
      </w:pPr>
      <w:bookmarkStart w:id="64" w:name="_Toc17570"/>
      <w:bookmarkStart w:id="65" w:name="_Toc23199"/>
      <w:r>
        <w:t>防护要求</w:t>
      </w:r>
      <w:bookmarkEnd w:id="64"/>
      <w:bookmarkEnd w:id="65"/>
    </w:p>
    <w:p>
      <w:pPr>
        <w:pStyle w:val="175"/>
        <w:rPr>
          <w:rFonts w:hint="eastAsia"/>
        </w:rPr>
      </w:pPr>
      <w:r>
        <w:rPr>
          <w:rFonts w:hint="eastAsia"/>
        </w:rPr>
        <w:t>外壳防护等级</w:t>
      </w:r>
    </w:p>
    <w:p>
      <w:pPr>
        <w:pStyle w:val="175"/>
        <w:rPr>
          <w:rFonts w:hint="eastAsia"/>
        </w:rPr>
      </w:pPr>
      <w:r>
        <w:rPr>
          <w:rFonts w:hint="eastAsia"/>
        </w:rPr>
        <w:t>漏电保护</w:t>
      </w:r>
    </w:p>
    <w:p>
      <w:pPr>
        <w:pStyle w:val="175"/>
        <w:rPr>
          <w:rFonts w:hint="eastAsia"/>
        </w:rPr>
      </w:pPr>
      <w:r>
        <w:t>防潮湿、防霉变、防盐雾保护</w:t>
      </w:r>
    </w:p>
    <w:p>
      <w:pPr>
        <w:pStyle w:val="175"/>
        <w:rPr>
          <w:rFonts w:hint="eastAsia"/>
        </w:rPr>
      </w:pPr>
      <w:r>
        <w:t>防锈(防氧化)保护</w:t>
      </w:r>
    </w:p>
    <w:p>
      <w:pPr>
        <w:pStyle w:val="175"/>
        <w:rPr>
          <w:rFonts w:hint="eastAsia"/>
        </w:rPr>
      </w:pPr>
      <w:r>
        <w:t>电击防护</w:t>
      </w:r>
    </w:p>
    <w:p>
      <w:pPr>
        <w:pStyle w:val="176"/>
        <w:rPr>
          <w:rFonts w:hint="eastAsia"/>
        </w:rPr>
      </w:pPr>
      <w:bookmarkStart w:id="66" w:name="_Toc5013"/>
      <w:bookmarkStart w:id="67" w:name="_Toc8236"/>
      <w:r>
        <w:rPr>
          <w:rFonts w:hint="default"/>
          <w:szCs w:val="32"/>
          <w:lang w:val="en-US" w:eastAsia="zh-CN"/>
        </w:rPr>
        <w:t>接插件要求</w:t>
      </w:r>
      <w:bookmarkEnd w:id="66"/>
      <w:bookmarkEnd w:id="67"/>
    </w:p>
    <w:p>
      <w:pPr>
        <w:pStyle w:val="179"/>
        <w:rPr>
          <w:rFonts w:hint="eastAsia"/>
          <w:lang w:val="en-US" w:eastAsia="zh-CN"/>
        </w:rPr>
      </w:pPr>
      <w:bookmarkStart w:id="68" w:name="_Toc25483"/>
      <w:bookmarkStart w:id="69" w:name="_Toc3932"/>
      <w:bookmarkStart w:id="70" w:name="_Toc30398"/>
      <w:r>
        <w:t>功能要求</w:t>
      </w:r>
      <w:bookmarkEnd w:id="68"/>
      <w:bookmarkEnd w:id="69"/>
      <w:bookmarkEnd w:id="70"/>
    </w:p>
    <w:p>
      <w:pPr>
        <w:pStyle w:val="176"/>
        <w:rPr>
          <w:rFonts w:hint="eastAsia"/>
          <w:lang w:val="en-US" w:eastAsia="zh-CN"/>
        </w:rPr>
      </w:pPr>
      <w:bookmarkStart w:id="71" w:name="_Toc22697"/>
      <w:bookmarkStart w:id="72" w:name="_Toc10423"/>
      <w:r>
        <w:t>基本配置要求</w:t>
      </w:r>
      <w:bookmarkEnd w:id="71"/>
      <w:bookmarkEnd w:id="72"/>
    </w:p>
    <w:p>
      <w:pPr>
        <w:pStyle w:val="176"/>
        <w:rPr>
          <w:rFonts w:hint="eastAsia"/>
          <w:lang w:val="en-US" w:eastAsia="zh-CN"/>
        </w:rPr>
      </w:pPr>
      <w:bookmarkStart w:id="73" w:name="_Toc14337"/>
      <w:bookmarkStart w:id="74" w:name="_Toc29843"/>
      <w:r>
        <w:t>人机交互功能</w:t>
      </w:r>
      <w:bookmarkEnd w:id="73"/>
      <w:bookmarkEnd w:id="74"/>
    </w:p>
    <w:p>
      <w:pPr>
        <w:pStyle w:val="176"/>
        <w:rPr>
          <w:rFonts w:hint="eastAsia"/>
          <w:lang w:val="en-US" w:eastAsia="zh-CN"/>
        </w:rPr>
      </w:pPr>
      <w:bookmarkStart w:id="75" w:name="_Toc8998"/>
      <w:bookmarkStart w:id="76" w:name="_Toc21717"/>
      <w:r>
        <w:t>通信功能</w:t>
      </w:r>
      <w:bookmarkEnd w:id="75"/>
      <w:bookmarkEnd w:id="76"/>
    </w:p>
    <w:p>
      <w:pPr>
        <w:pStyle w:val="176"/>
        <w:rPr>
          <w:rFonts w:hint="eastAsia"/>
          <w:lang w:val="en-US" w:eastAsia="zh-CN"/>
        </w:rPr>
      </w:pPr>
      <w:bookmarkStart w:id="77" w:name="_Toc4904"/>
      <w:bookmarkStart w:id="78" w:name="_Toc10480"/>
      <w:r>
        <w:t>计量要求</w:t>
      </w:r>
      <w:bookmarkEnd w:id="77"/>
      <w:bookmarkEnd w:id="78"/>
    </w:p>
    <w:p>
      <w:pPr>
        <w:pStyle w:val="176"/>
        <w:rPr>
          <w:rFonts w:hint="eastAsia"/>
          <w:lang w:val="en-US" w:eastAsia="zh-CN"/>
        </w:rPr>
      </w:pPr>
      <w:bookmarkStart w:id="79" w:name="_Toc23365"/>
      <w:bookmarkStart w:id="80" w:name="_Toc31071"/>
      <w:r>
        <w:t>计费及付款模式</w:t>
      </w:r>
      <w:bookmarkEnd w:id="79"/>
      <w:bookmarkEnd w:id="80"/>
    </w:p>
    <w:p>
      <w:pPr>
        <w:pStyle w:val="179"/>
        <w:rPr>
          <w:rFonts w:hint="eastAsia"/>
          <w:lang w:val="en-US" w:eastAsia="zh-CN"/>
        </w:rPr>
      </w:pPr>
      <w:bookmarkStart w:id="81" w:name="_Toc26548"/>
      <w:bookmarkStart w:id="82" w:name="_Toc27909"/>
      <w:bookmarkStart w:id="83" w:name="_Toc2222"/>
      <w:r>
        <w:t>性能要求</w:t>
      </w:r>
      <w:bookmarkEnd w:id="81"/>
      <w:bookmarkEnd w:id="82"/>
      <w:bookmarkEnd w:id="83"/>
    </w:p>
    <w:p>
      <w:pPr>
        <w:pStyle w:val="176"/>
        <w:rPr>
          <w:rFonts w:hint="eastAsia"/>
          <w:lang w:val="en-US" w:eastAsia="zh-CN"/>
        </w:rPr>
      </w:pPr>
      <w:bookmarkStart w:id="84" w:name="_Toc24439"/>
      <w:bookmarkStart w:id="85" w:name="_Toc11964"/>
      <w:r>
        <w:t>电压、频率与制式</w:t>
      </w:r>
      <w:bookmarkEnd w:id="84"/>
      <w:bookmarkEnd w:id="85"/>
    </w:p>
    <w:p>
      <w:pPr>
        <w:pStyle w:val="176"/>
        <w:rPr>
          <w:rFonts w:hint="eastAsia"/>
          <w:lang w:val="en-US" w:eastAsia="zh-CN"/>
        </w:rPr>
      </w:pPr>
      <w:bookmarkStart w:id="86" w:name="_Toc27456"/>
      <w:bookmarkStart w:id="87" w:name="_Toc1216"/>
      <w:r>
        <w:t>输出配置及容量</w:t>
      </w:r>
      <w:bookmarkEnd w:id="86"/>
      <w:bookmarkEnd w:id="87"/>
    </w:p>
    <w:p>
      <w:pPr>
        <w:pStyle w:val="176"/>
        <w:rPr>
          <w:rFonts w:hint="eastAsia"/>
          <w:lang w:val="en-US" w:eastAsia="zh-CN"/>
        </w:rPr>
      </w:pPr>
      <w:bookmarkStart w:id="88" w:name="_Toc20476"/>
      <w:bookmarkStart w:id="89" w:name="_Toc7630"/>
      <w:r>
        <w:t>接口要求</w:t>
      </w:r>
      <w:bookmarkEnd w:id="88"/>
      <w:bookmarkEnd w:id="89"/>
    </w:p>
    <w:p>
      <w:pPr>
        <w:pStyle w:val="179"/>
      </w:pPr>
      <w:bookmarkStart w:id="90" w:name="_Toc27651"/>
      <w:bookmarkStart w:id="91" w:name="_Toc13617"/>
      <w:bookmarkStart w:id="92" w:name="_Toc17350"/>
      <w:r>
        <w:t>安全性及电磁兼容要求</w:t>
      </w:r>
      <w:bookmarkEnd w:id="90"/>
      <w:bookmarkEnd w:id="91"/>
      <w:bookmarkEnd w:id="92"/>
    </w:p>
    <w:p>
      <w:pPr>
        <w:pStyle w:val="176"/>
      </w:pPr>
      <w:bookmarkStart w:id="93" w:name="_Toc13622"/>
      <w:bookmarkStart w:id="94" w:name="_Toc2115"/>
      <w:r>
        <w:t>电气绝缘性能要求</w:t>
      </w:r>
      <w:bookmarkEnd w:id="93"/>
      <w:bookmarkEnd w:id="94"/>
    </w:p>
    <w:p>
      <w:pPr>
        <w:pStyle w:val="175"/>
      </w:pPr>
      <w:r>
        <w:rPr>
          <w:rFonts w:hint="eastAsia"/>
        </w:rPr>
        <w:t>绝缘电阻</w:t>
      </w:r>
    </w:p>
    <w:p>
      <w:pPr>
        <w:pStyle w:val="175"/>
        <w:rPr>
          <w:rFonts w:hint="eastAsia"/>
        </w:rPr>
      </w:pPr>
      <w:r>
        <w:t>工频耐压</w:t>
      </w:r>
    </w:p>
    <w:p>
      <w:pPr>
        <w:pStyle w:val="175"/>
        <w:rPr>
          <w:rFonts w:hint="eastAsia"/>
        </w:rPr>
      </w:pPr>
      <w:r>
        <w:t>冲击耐压</w:t>
      </w:r>
    </w:p>
    <w:p>
      <w:pPr>
        <w:pStyle w:val="176"/>
        <w:rPr>
          <w:rFonts w:hint="eastAsia"/>
          <w:lang w:val="en-US" w:eastAsia="zh-CN"/>
        </w:rPr>
      </w:pPr>
      <w:bookmarkStart w:id="95" w:name="_Toc4140"/>
      <w:bookmarkStart w:id="96" w:name="_Toc32344"/>
      <w:r>
        <w:t>电磁兼容性能要求</w:t>
      </w:r>
      <w:bookmarkEnd w:id="95"/>
      <w:bookmarkEnd w:id="96"/>
    </w:p>
    <w:p>
      <w:pPr>
        <w:pStyle w:val="175"/>
        <w:rPr>
          <w:rFonts w:hint="eastAsia"/>
          <w:lang w:val="en-US" w:eastAsia="zh-CN"/>
        </w:rPr>
      </w:pPr>
      <w:r>
        <w:t>静电放电抗扰度</w:t>
      </w:r>
    </w:p>
    <w:p>
      <w:pPr>
        <w:pStyle w:val="175"/>
        <w:rPr>
          <w:rFonts w:hint="eastAsia"/>
          <w:lang w:val="en-US" w:eastAsia="zh-CN"/>
        </w:rPr>
      </w:pPr>
      <w:r>
        <w:t>电快速瞬变脉冲群抗扰度</w:t>
      </w:r>
    </w:p>
    <w:p>
      <w:pPr>
        <w:pStyle w:val="175"/>
        <w:rPr>
          <w:rFonts w:hint="eastAsia"/>
          <w:lang w:val="en-US" w:eastAsia="zh-CN"/>
        </w:rPr>
      </w:pPr>
      <w:r>
        <w:t>射频电磁场辐射抗扰度</w:t>
      </w:r>
    </w:p>
    <w:p>
      <w:pPr>
        <w:pStyle w:val="175"/>
        <w:rPr>
          <w:rFonts w:hint="eastAsia"/>
          <w:lang w:val="en-US" w:eastAsia="zh-CN"/>
        </w:rPr>
      </w:pPr>
      <w:r>
        <w:t>浪涌(冲击)抗扰度</w:t>
      </w:r>
    </w:p>
    <w:p>
      <w:pPr>
        <w:pStyle w:val="176"/>
        <w:rPr>
          <w:rFonts w:hint="eastAsia"/>
          <w:lang w:val="en-US" w:eastAsia="zh-CN"/>
        </w:rPr>
      </w:pPr>
      <w:bookmarkStart w:id="97" w:name="_Toc13366"/>
      <w:bookmarkStart w:id="98" w:name="_Toc6533"/>
      <w:r>
        <w:t>接地和安全保护</w:t>
      </w:r>
      <w:bookmarkEnd w:id="97"/>
      <w:bookmarkEnd w:id="98"/>
    </w:p>
    <w:p>
      <w:pPr>
        <w:pStyle w:val="175"/>
        <w:rPr>
          <w:rFonts w:hint="eastAsia"/>
          <w:lang w:val="en-US" w:eastAsia="zh-CN"/>
        </w:rPr>
      </w:pPr>
      <w:r>
        <w:t>接地要求</w:t>
      </w:r>
    </w:p>
    <w:p>
      <w:pPr>
        <w:pStyle w:val="175"/>
        <w:rPr>
          <w:rFonts w:hint="eastAsia"/>
          <w:lang w:val="en-US" w:eastAsia="zh-CN"/>
        </w:rPr>
      </w:pPr>
      <w:r>
        <w:t>电气安全、保护要求</w:t>
      </w:r>
    </w:p>
    <w:p>
      <w:pPr>
        <w:pStyle w:val="179"/>
        <w:rPr>
          <w:rFonts w:hint="eastAsia"/>
          <w:lang w:val="en-US" w:eastAsia="zh-CN"/>
        </w:rPr>
      </w:pPr>
      <w:bookmarkStart w:id="99" w:name="_Toc27885"/>
      <w:bookmarkStart w:id="100" w:name="_Toc8318"/>
      <w:bookmarkStart w:id="101" w:name="_Toc5111"/>
      <w:r>
        <w:rPr>
          <w:rFonts w:eastAsia="黑体"/>
        </w:rPr>
        <w:t>安装要求</w:t>
      </w:r>
      <w:bookmarkEnd w:id="99"/>
      <w:bookmarkEnd w:id="100"/>
      <w:bookmarkEnd w:id="101"/>
    </w:p>
    <w:p>
      <w:pPr>
        <w:pStyle w:val="179"/>
        <w:rPr>
          <w:rFonts w:hint="eastAsia"/>
          <w:lang w:val="en-US" w:eastAsia="zh-CN"/>
        </w:rPr>
      </w:pPr>
      <w:bookmarkStart w:id="102" w:name="_Toc11502"/>
      <w:bookmarkStart w:id="103" w:name="_Toc27728"/>
      <w:bookmarkStart w:id="104" w:name="_Toc25191"/>
      <w:r>
        <w:t>选装件要求</w:t>
      </w:r>
      <w:bookmarkEnd w:id="102"/>
      <w:bookmarkEnd w:id="103"/>
      <w:bookmarkEnd w:id="104"/>
    </w:p>
    <w:p>
      <w:pPr>
        <w:pStyle w:val="179"/>
        <w:numPr>
          <w:ilvl w:val="0"/>
          <w:numId w:val="0"/>
        </w:numPr>
        <w:ind w:leftChars="0"/>
        <w:rPr>
          <w:szCs w:val="22"/>
        </w:rPr>
      </w:pPr>
      <w:bookmarkStart w:id="105" w:name="_Toc12226"/>
      <w:r>
        <w:rPr>
          <w:rFonts w:hint="eastAsia"/>
          <w:szCs w:val="22"/>
          <w:lang w:eastAsia="zh-CN"/>
        </w:rPr>
        <w:fldChar w:fldCharType="begin"/>
      </w:r>
      <w:r>
        <w:rPr>
          <w:rFonts w:hint="eastAsia"/>
          <w:szCs w:val="22"/>
          <w:lang w:eastAsia="zh-CN"/>
        </w:rPr>
        <w:instrText xml:space="preserve"> HYPERLINK \l _Toc27009 </w:instrText>
      </w:r>
      <w:r>
        <w:rPr>
          <w:rFonts w:hint="eastAsia"/>
          <w:szCs w:val="22"/>
          <w:lang w:eastAsia="zh-CN"/>
        </w:rPr>
        <w:fldChar w:fldCharType="separate"/>
      </w:r>
      <w:r>
        <w:rPr>
          <w:rFonts w:hint="eastAsia"/>
          <w:szCs w:val="22"/>
        </w:rPr>
        <w:t>附录A</w:t>
      </w:r>
      <w:r>
        <w:rPr>
          <w:rFonts w:hint="eastAsia"/>
          <w:szCs w:val="22"/>
          <w:lang w:eastAsia="zh-CN"/>
        </w:rPr>
        <w:t>　</w:t>
      </w:r>
      <w:r>
        <w:rPr>
          <w:rFonts w:hint="eastAsia"/>
          <w:szCs w:val="22"/>
        </w:rPr>
        <w:t>（资料性附录）</w:t>
      </w:r>
      <w:r>
        <w:rPr>
          <w:rFonts w:hint="eastAsia"/>
          <w:szCs w:val="22"/>
          <w:lang w:eastAsia="zh-CN"/>
        </w:rPr>
        <w:t>　广东省内河港口岸电设施尺寸设计图</w:t>
      </w:r>
      <w:r>
        <w:rPr>
          <w:szCs w:val="22"/>
        </w:rPr>
        <w:tab/>
      </w:r>
      <w:r>
        <w:rPr>
          <w:rFonts w:hint="eastAsia"/>
          <w:szCs w:val="22"/>
          <w:lang w:eastAsia="zh-CN"/>
        </w:rPr>
        <w:fldChar w:fldCharType="end"/>
      </w:r>
      <w:bookmarkEnd w:id="105"/>
    </w:p>
    <w:p>
      <w:pPr>
        <w:pStyle w:val="179"/>
        <w:numPr>
          <w:ilvl w:val="0"/>
          <w:numId w:val="0"/>
        </w:numPr>
        <w:ind w:leftChars="0"/>
        <w:rPr>
          <w:szCs w:val="22"/>
        </w:rPr>
      </w:pPr>
      <w:bookmarkStart w:id="106" w:name="_Toc31903"/>
      <w:r>
        <w:rPr>
          <w:rFonts w:hint="eastAsia"/>
          <w:szCs w:val="22"/>
          <w:lang w:eastAsia="zh-CN"/>
        </w:rPr>
        <w:fldChar w:fldCharType="begin"/>
      </w:r>
      <w:r>
        <w:rPr>
          <w:rFonts w:hint="eastAsia"/>
          <w:szCs w:val="22"/>
          <w:lang w:eastAsia="zh-CN"/>
        </w:rPr>
        <w:instrText xml:space="preserve"> HYPERLINK \l _Toc6011 </w:instrText>
      </w:r>
      <w:r>
        <w:rPr>
          <w:rFonts w:hint="eastAsia"/>
          <w:szCs w:val="22"/>
          <w:lang w:eastAsia="zh-CN"/>
        </w:rPr>
        <w:fldChar w:fldCharType="separate"/>
      </w:r>
      <w:r>
        <w:rPr>
          <w:rFonts w:hint="eastAsia"/>
          <w:szCs w:val="22"/>
        </w:rPr>
        <w:t>附录B</w:t>
      </w:r>
      <w:r>
        <w:rPr>
          <w:rFonts w:hint="eastAsia"/>
          <w:szCs w:val="22"/>
          <w:lang w:eastAsia="zh-CN"/>
        </w:rPr>
        <w:t>　</w:t>
      </w:r>
      <w:r>
        <w:rPr>
          <w:rFonts w:hint="eastAsia"/>
          <w:szCs w:val="22"/>
        </w:rPr>
        <w:t>（资料性附录）</w:t>
      </w:r>
      <w:r>
        <w:rPr>
          <w:rFonts w:hint="eastAsia"/>
          <w:szCs w:val="22"/>
          <w:lang w:eastAsia="zh-CN"/>
        </w:rPr>
        <w:t>　广东省内河港口岸电设施丝印文字字体字号图</w:t>
      </w:r>
      <w:r>
        <w:rPr>
          <w:szCs w:val="22"/>
        </w:rPr>
        <w:tab/>
      </w:r>
      <w:r>
        <w:rPr>
          <w:rFonts w:hint="eastAsia"/>
          <w:szCs w:val="22"/>
          <w:lang w:eastAsia="zh-CN"/>
        </w:rPr>
        <w:fldChar w:fldCharType="end"/>
      </w:r>
      <w:bookmarkEnd w:id="106"/>
    </w:p>
    <w:p>
      <w:pPr>
        <w:pStyle w:val="179"/>
        <w:numPr>
          <w:ilvl w:val="0"/>
          <w:numId w:val="0"/>
        </w:numPr>
        <w:ind w:leftChars="0"/>
        <w:rPr>
          <w:szCs w:val="22"/>
        </w:rPr>
      </w:pPr>
      <w:bookmarkStart w:id="107" w:name="_Toc6764"/>
      <w:r>
        <w:rPr>
          <w:rFonts w:hint="eastAsia"/>
          <w:szCs w:val="22"/>
          <w:lang w:eastAsia="zh-CN"/>
        </w:rPr>
        <w:fldChar w:fldCharType="begin"/>
      </w:r>
      <w:r>
        <w:rPr>
          <w:rFonts w:hint="eastAsia"/>
          <w:szCs w:val="22"/>
          <w:lang w:eastAsia="zh-CN"/>
        </w:rPr>
        <w:instrText xml:space="preserve"> HYPERLINK \l _Toc27944 </w:instrText>
      </w:r>
      <w:r>
        <w:rPr>
          <w:rFonts w:hint="eastAsia"/>
          <w:szCs w:val="22"/>
          <w:lang w:eastAsia="zh-CN"/>
        </w:rPr>
        <w:fldChar w:fldCharType="separate"/>
      </w:r>
      <w:r>
        <w:rPr>
          <w:rFonts w:hint="eastAsia"/>
          <w:szCs w:val="22"/>
          <w:lang w:eastAsia="zh-CN"/>
        </w:rPr>
        <w:t>附录C　（资料性附录）　广东省内河港口岸电设施正面侧面丝印尺寸标注位置图</w:t>
      </w:r>
      <w:r>
        <w:rPr>
          <w:szCs w:val="22"/>
        </w:rPr>
        <w:tab/>
      </w:r>
      <w:r>
        <w:rPr>
          <w:rFonts w:hint="eastAsia"/>
          <w:szCs w:val="22"/>
          <w:lang w:eastAsia="zh-CN"/>
        </w:rPr>
        <w:fldChar w:fldCharType="end"/>
      </w:r>
      <w:bookmarkEnd w:id="107"/>
    </w:p>
    <w:p>
      <w:pPr>
        <w:pStyle w:val="179"/>
        <w:numPr>
          <w:ilvl w:val="0"/>
          <w:numId w:val="0"/>
        </w:numPr>
        <w:ind w:leftChars="0"/>
        <w:rPr>
          <w:rFonts w:hint="eastAsia"/>
          <w:szCs w:val="22"/>
          <w:lang w:eastAsia="zh-CN"/>
        </w:rPr>
      </w:pPr>
      <w:bookmarkStart w:id="108" w:name="_Toc2636"/>
      <w:r>
        <w:rPr>
          <w:rFonts w:hint="eastAsia"/>
          <w:szCs w:val="22"/>
          <w:lang w:eastAsia="zh-CN"/>
        </w:rPr>
        <w:fldChar w:fldCharType="begin"/>
      </w:r>
      <w:r>
        <w:rPr>
          <w:rFonts w:hint="eastAsia"/>
          <w:szCs w:val="22"/>
          <w:lang w:eastAsia="zh-CN"/>
        </w:rPr>
        <w:instrText xml:space="preserve"> HYPERLINK \l _Toc20661 </w:instrText>
      </w:r>
      <w:r>
        <w:rPr>
          <w:rFonts w:hint="eastAsia"/>
          <w:szCs w:val="22"/>
          <w:lang w:eastAsia="zh-CN"/>
        </w:rPr>
        <w:fldChar w:fldCharType="separate"/>
      </w:r>
      <w:r>
        <w:rPr>
          <w:rFonts w:hint="eastAsia"/>
          <w:szCs w:val="22"/>
          <w:lang w:eastAsia="zh-CN"/>
        </w:rPr>
        <w:t>附录D　（资料性附录）　广东省内河港口岸电设施设备铭牌和管理员信息铭牌式样及尺寸图</w:t>
      </w:r>
      <w:r>
        <w:rPr>
          <w:szCs w:val="22"/>
        </w:rPr>
        <w:tab/>
      </w:r>
      <w:r>
        <w:rPr>
          <w:rFonts w:hint="eastAsia"/>
          <w:szCs w:val="22"/>
          <w:lang w:eastAsia="zh-CN"/>
        </w:rPr>
        <w:fldChar w:fldCharType="end"/>
      </w:r>
      <w:bookmarkEnd w:id="108"/>
    </w:p>
    <w:p>
      <w:pPr>
        <w:pStyle w:val="179"/>
        <w:numPr>
          <w:ilvl w:val="0"/>
          <w:numId w:val="0"/>
        </w:numPr>
        <w:ind w:leftChars="0"/>
        <w:rPr>
          <w:rFonts w:hint="eastAsia"/>
          <w:szCs w:val="22"/>
        </w:rPr>
      </w:pPr>
      <w:bookmarkStart w:id="109" w:name="_Toc7044"/>
      <w:r>
        <w:rPr>
          <w:rFonts w:hint="eastAsia"/>
          <w:szCs w:val="22"/>
          <w:lang w:eastAsia="zh-CN"/>
        </w:rPr>
        <w:fldChar w:fldCharType="begin"/>
      </w:r>
      <w:r>
        <w:rPr>
          <w:rFonts w:hint="eastAsia"/>
          <w:szCs w:val="22"/>
          <w:lang w:eastAsia="zh-CN"/>
        </w:rPr>
        <w:instrText xml:space="preserve"> HYPERLINK \l _Toc27728 </w:instrText>
      </w:r>
      <w:r>
        <w:rPr>
          <w:rFonts w:hint="eastAsia"/>
          <w:szCs w:val="22"/>
          <w:lang w:eastAsia="zh-CN"/>
        </w:rPr>
        <w:fldChar w:fldCharType="separate"/>
      </w:r>
      <w:r>
        <w:rPr>
          <w:rFonts w:hint="eastAsia"/>
          <w:szCs w:val="22"/>
          <w:lang w:val="en-US" w:eastAsia="zh-CN"/>
        </w:rPr>
        <w:t>条文说明</w:t>
      </w:r>
      <w:r>
        <w:rPr>
          <w:szCs w:val="22"/>
        </w:rPr>
        <w:tab/>
      </w:r>
      <w:r>
        <w:rPr>
          <w:rFonts w:hint="eastAsia"/>
          <w:szCs w:val="22"/>
          <w:lang w:eastAsia="zh-CN"/>
        </w:rPr>
        <w:fldChar w:fldCharType="end"/>
      </w:r>
      <w:bookmarkEnd w:id="109"/>
    </w:p>
    <w:p>
      <w:pPr>
        <w:ind w:firstLine="560"/>
        <w:rPr>
          <w:rFonts w:hint="eastAsia"/>
        </w:rPr>
      </w:pPr>
      <w:r>
        <w:rPr>
          <w:rFonts w:hint="eastAsia"/>
          <w:b/>
          <w:bCs/>
        </w:rPr>
        <w:t>第 1 章为适用范围</w:t>
      </w:r>
      <w:r>
        <w:rPr>
          <w:rFonts w:hint="eastAsia"/>
        </w:rPr>
        <w:t>，主要明确了本规范的适用范围。适用于广东省内河港口集装箱、多用途、干散货、件杂货、客运等码头靠港船舶提供交流用电的小容量（100kVA及以下）供电系统设施建设，为靠港船舶提供通风、照明等生活用电。不适用于油气化工码头</w:t>
      </w:r>
      <w:r>
        <w:rPr>
          <w:rFonts w:hint="eastAsia"/>
          <w:lang w:eastAsia="zh-CN"/>
        </w:rPr>
        <w:t>。</w:t>
      </w:r>
    </w:p>
    <w:p>
      <w:pPr>
        <w:ind w:firstLine="560"/>
        <w:rPr>
          <w:rFonts w:hint="eastAsia"/>
        </w:rPr>
      </w:pPr>
      <w:r>
        <w:rPr>
          <w:rFonts w:hint="eastAsia"/>
          <w:b/>
          <w:bCs/>
        </w:rPr>
        <w:t>第 2 章为规范性引用文件</w:t>
      </w:r>
      <w:r>
        <w:rPr>
          <w:rFonts w:hint="eastAsia"/>
        </w:rPr>
        <w:t>，主要涉及《码头船舶岸电设施工程技术标准》（GB/T 51305）、《码头岸电设施建设技术规范》（JTS 155）等标准。</w:t>
      </w:r>
    </w:p>
    <w:p>
      <w:pPr>
        <w:ind w:firstLine="560"/>
        <w:rPr>
          <w:rFonts w:hint="eastAsia"/>
        </w:rPr>
      </w:pPr>
      <w:r>
        <w:rPr>
          <w:rFonts w:hint="eastAsia"/>
          <w:b/>
          <w:bCs/>
        </w:rPr>
        <w:t xml:space="preserve">第 </w:t>
      </w:r>
      <w:r>
        <w:rPr>
          <w:rFonts w:hint="eastAsia"/>
          <w:b/>
          <w:bCs/>
          <w:lang w:val="en-US" w:eastAsia="zh-CN"/>
        </w:rPr>
        <w:t>3</w:t>
      </w:r>
      <w:r>
        <w:rPr>
          <w:rFonts w:hint="eastAsia"/>
          <w:b/>
          <w:bCs/>
        </w:rPr>
        <w:t xml:space="preserve"> 章为</w:t>
      </w:r>
      <w:r>
        <w:rPr>
          <w:rFonts w:hint="eastAsia"/>
          <w:b/>
          <w:bCs/>
          <w:lang w:val="en-US" w:eastAsia="zh-CN"/>
        </w:rPr>
        <w:t>术语和定义</w:t>
      </w:r>
      <w:r>
        <w:rPr>
          <w:rFonts w:hint="eastAsia"/>
        </w:rPr>
        <w:t>，主要</w:t>
      </w:r>
      <w:r>
        <w:rPr>
          <w:rFonts w:hint="eastAsia"/>
          <w:lang w:val="en-US" w:eastAsia="zh-CN"/>
        </w:rPr>
        <w:t>规定和本规范的术语和定义</w:t>
      </w:r>
      <w:r>
        <w:rPr>
          <w:rFonts w:hint="eastAsia"/>
        </w:rPr>
        <w:t>。</w:t>
      </w:r>
    </w:p>
    <w:p>
      <w:pPr>
        <w:ind w:firstLine="560"/>
        <w:rPr>
          <w:rFonts w:hint="eastAsia"/>
        </w:rPr>
      </w:pPr>
      <w:r>
        <w:rPr>
          <w:rFonts w:hint="eastAsia"/>
          <w:b/>
          <w:bCs/>
        </w:rPr>
        <w:t xml:space="preserve">第 </w:t>
      </w:r>
      <w:r>
        <w:rPr>
          <w:rFonts w:hint="eastAsia"/>
          <w:b/>
          <w:bCs/>
          <w:lang w:val="en-US" w:eastAsia="zh-CN"/>
        </w:rPr>
        <w:t>4</w:t>
      </w:r>
      <w:r>
        <w:rPr>
          <w:rFonts w:hint="eastAsia"/>
          <w:b/>
          <w:bCs/>
        </w:rPr>
        <w:t xml:space="preserve"> 章为</w:t>
      </w:r>
      <w:r>
        <w:rPr>
          <w:rFonts w:hint="eastAsia"/>
          <w:b/>
          <w:bCs/>
          <w:lang w:val="en-US" w:eastAsia="zh-CN"/>
        </w:rPr>
        <w:t>基本</w:t>
      </w:r>
      <w:r>
        <w:rPr>
          <w:rFonts w:hint="eastAsia"/>
          <w:b/>
          <w:bCs/>
        </w:rPr>
        <w:t>要求</w:t>
      </w:r>
      <w:r>
        <w:rPr>
          <w:rFonts w:hint="eastAsia"/>
        </w:rPr>
        <w:t>，主要规定岸电</w:t>
      </w:r>
      <w:r>
        <w:rPr>
          <w:rFonts w:hint="eastAsia"/>
          <w:lang w:val="en-US" w:eastAsia="zh-CN"/>
        </w:rPr>
        <w:t>一般要求、</w:t>
      </w:r>
      <w:r>
        <w:rPr>
          <w:rFonts w:hint="eastAsia"/>
        </w:rPr>
        <w:t>系统组成、壳体及材质、外观及标识、连接方式、防护等要求。</w:t>
      </w:r>
    </w:p>
    <w:p>
      <w:pPr>
        <w:ind w:firstLine="560"/>
        <w:rPr>
          <w:rFonts w:hint="eastAsia"/>
        </w:rPr>
      </w:pPr>
      <w:r>
        <w:rPr>
          <w:rFonts w:hint="eastAsia"/>
        </w:rPr>
        <w:t>明确设备制造商应提供有资质单位出具的产品型式试验报告及产品产检报告，确保岸电设备安全、稳定运行，进一步减少码头方的运营成本，更好的推动岸电全面使用。</w:t>
      </w:r>
    </w:p>
    <w:p>
      <w:pPr>
        <w:ind w:firstLine="560"/>
        <w:rPr>
          <w:rFonts w:hint="eastAsia"/>
        </w:rPr>
      </w:pPr>
      <w:r>
        <w:rPr>
          <w:rFonts w:hint="eastAsia"/>
        </w:rPr>
        <w:t>规定了内河港口岸电电源设备尺寸要求，统一岸电设备的外形。岸电电源设备可根据码头泊位实际情况选用落地式、壁挂式、卧式三种形式。容量不超过40KVA的设备尺寸宜为落地式（高1.49米，宽　0.45米，厚0.289米）、壁挂式（高0.745米，宽0.45米，厚0.289　米）、卧式（长0.745米，宽0.45米，厚0.289米），容量大于40KVA的设备可根据实际需求适当调整尺寸。规定了岸电电源标识和铭牌等要求，规定了设备防护要求。</w:t>
      </w:r>
    </w:p>
    <w:p>
      <w:pPr>
        <w:ind w:firstLine="560"/>
        <w:rPr>
          <w:rFonts w:hint="eastAsia"/>
        </w:rPr>
      </w:pPr>
      <w:r>
        <w:rPr>
          <w:rFonts w:hint="eastAsia"/>
        </w:rPr>
        <w:t>规定了船岸的连接方式要求，岸侧的连接装置应采用插头和插座方式连接，船侧的连接装置应采用船电耦合器方式连接。</w:t>
      </w:r>
    </w:p>
    <w:p>
      <w:pPr>
        <w:ind w:firstLine="560"/>
        <w:rPr>
          <w:rFonts w:hint="eastAsia"/>
        </w:rPr>
      </w:pPr>
      <w:r>
        <w:rPr>
          <w:rFonts w:hint="eastAsia"/>
          <w:b/>
          <w:bCs/>
        </w:rPr>
        <w:t xml:space="preserve">第 </w:t>
      </w:r>
      <w:r>
        <w:rPr>
          <w:rFonts w:hint="eastAsia"/>
          <w:b/>
          <w:bCs/>
          <w:lang w:val="en-US" w:eastAsia="zh-CN"/>
        </w:rPr>
        <w:t>5</w:t>
      </w:r>
      <w:r>
        <w:rPr>
          <w:rFonts w:hint="eastAsia"/>
          <w:b/>
          <w:bCs/>
        </w:rPr>
        <w:t xml:space="preserve"> 章为功能要求</w:t>
      </w:r>
      <w:r>
        <w:rPr>
          <w:rFonts w:hint="eastAsia"/>
        </w:rPr>
        <w:t>，主要规定了岸电设备基本配置、人机交互功能、通信功能、计量、计费及付款等要求。</w:t>
      </w:r>
    </w:p>
    <w:p>
      <w:pPr>
        <w:ind w:firstLine="560"/>
        <w:rPr>
          <w:rFonts w:hint="eastAsia"/>
        </w:rPr>
      </w:pPr>
      <w:r>
        <w:rPr>
          <w:rFonts w:hint="eastAsia"/>
        </w:rPr>
        <w:t>明确了如1套岸电设施同时供两艘停靠船舶使用，需设置两套总开关和漏电保护开关或有明确的电气分隔点；可扫描用户手机的二维码获取用户ID；二维码扫描出现故障情况下，本地可以在屏幕输入用户ID实现用电。</w:t>
      </w:r>
    </w:p>
    <w:p>
      <w:pPr>
        <w:ind w:firstLine="560"/>
        <w:rPr>
          <w:rFonts w:hint="eastAsia"/>
        </w:rPr>
      </w:pPr>
      <w:r>
        <w:rPr>
          <w:rFonts w:hint="eastAsia"/>
        </w:rPr>
        <w:t>为方便后期岸电使用的监督，要求岸电设备具备同时与广东省港口管理信息系统和设备运营管理平台通信的能力，能够采集岸电电源设备的运行数据并实时上传。省厅在现运行的广东省港口管理信息系统中新开发港口岸电使用分析功能，通过接收泊位上岸电设备无线传输的使用数据，自动获取泊位岸电使用的实时数据；通过微信小程序上的船方使用岸电数据，掌握靠港船舶岸电使用实时数据。这种做法有利于实现船舶、港口岸电使用的信息化监管，以及港口、码头、泊位岸电使用情况的统计和分析。</w:t>
      </w:r>
    </w:p>
    <w:p>
      <w:pPr>
        <w:ind w:firstLine="560"/>
        <w:rPr>
          <w:rFonts w:hint="eastAsia" w:eastAsia="宋体"/>
          <w:lang w:eastAsia="zh-CN"/>
        </w:rPr>
      </w:pPr>
      <w:r>
        <w:rPr>
          <w:rFonts w:hint="eastAsia"/>
        </w:rPr>
        <w:t>付款方式需包含微信支付等线上支付、月结、现金等支付选项</w:t>
      </w:r>
      <w:r>
        <w:rPr>
          <w:rFonts w:hint="eastAsia"/>
          <w:lang w:eastAsia="zh-CN"/>
        </w:rPr>
        <w:t>。</w:t>
      </w:r>
    </w:p>
    <w:p>
      <w:pPr>
        <w:ind w:firstLine="560"/>
        <w:rPr>
          <w:rFonts w:hint="eastAsia"/>
        </w:rPr>
      </w:pPr>
      <w:r>
        <w:rPr>
          <w:rFonts w:hint="eastAsia"/>
          <w:b/>
          <w:bCs/>
        </w:rPr>
        <w:t xml:space="preserve">第 </w:t>
      </w:r>
      <w:r>
        <w:rPr>
          <w:rFonts w:hint="eastAsia"/>
          <w:b/>
          <w:bCs/>
          <w:lang w:val="en-US" w:eastAsia="zh-CN"/>
        </w:rPr>
        <w:t>6</w:t>
      </w:r>
      <w:r>
        <w:rPr>
          <w:rFonts w:hint="eastAsia"/>
          <w:b/>
          <w:bCs/>
        </w:rPr>
        <w:t xml:space="preserve"> 章为性能要求</w:t>
      </w:r>
      <w:r>
        <w:rPr>
          <w:rFonts w:hint="eastAsia"/>
        </w:rPr>
        <w:t>，主要规定了岸电系统的供电电压、频率与制式、输出配置及容量、接口等要求。</w:t>
      </w:r>
    </w:p>
    <w:p>
      <w:pPr>
        <w:ind w:firstLine="560"/>
        <w:rPr>
          <w:rFonts w:hint="eastAsia"/>
        </w:rPr>
      </w:pPr>
      <w:r>
        <w:rPr>
          <w:rFonts w:hint="eastAsia"/>
        </w:rPr>
        <w:t>要求岸电电源的供电模式为交流单相或交流三相，额定电压单相为230V、三相为400V。</w:t>
      </w:r>
    </w:p>
    <w:p>
      <w:pPr>
        <w:ind w:firstLine="560"/>
        <w:rPr>
          <w:rFonts w:hint="eastAsia"/>
        </w:rPr>
      </w:pPr>
      <w:r>
        <w:rPr>
          <w:rFonts w:hint="eastAsia"/>
        </w:rPr>
        <w:t>通过查阅《GB/T 51305码头船舶岸电设施工程技术标准》、《JTS155码头岸电设施建设技术规范》、《内河码头船舶岸电设施建设技术指南》等标准规范和技术性文件。码头岸电设施供电容量只给出了一般规定，要求岸电设施供电容量应综合考虑泊位允许靠泊船舶中单台最大发电机组额定容量、泊位利用情况和船舶用电需求，并留有余量。如果岸电设施供电容量</w:t>
      </w:r>
      <w:r>
        <w:rPr>
          <w:rFonts w:hint="eastAsia"/>
          <w:lang w:val="en-US" w:eastAsia="zh-CN"/>
        </w:rPr>
        <w:t>规定较大</w:t>
      </w:r>
      <w:r>
        <w:rPr>
          <w:rFonts w:hint="eastAsia"/>
        </w:rPr>
        <w:t>，会出现以下问题：①大部分码头会出现富余的供电容量不够，需要增容；电力增容申请手续相对较为繁琐，设备改造费用较高且每月须按电力接入容量支付容量电费，将给港口企业增加一定的额外负担。②供电电缆、岸电箱接插件的相关配套设施需要选用的规格提高，增加了岸电建设的成本。通过大量的调研及查阅文献，船舶靠泊时，柴油发电机组会在部分负荷下运行，一般来说靠港船舶辅机约按额定功率的20-60</w:t>
      </w:r>
      <w:r>
        <w:rPr>
          <w:rFonts w:hint="eastAsia"/>
          <w:lang w:val="en-US" w:eastAsia="zh-CN"/>
        </w:rPr>
        <w:t>%</w:t>
      </w:r>
      <w:r>
        <w:rPr>
          <w:rFonts w:hint="eastAsia"/>
        </w:rPr>
        <w:t>之间运行；通过调查船舶用电需求，船舶用电主要是为其空调、照明等生活设施提供电力。因此，规定三相岸电电源设备的系统额定输出容量单个接口应不小于20kVA，单相岸电电源设备单个接口应不小于7kVA</w:t>
      </w:r>
      <w:r>
        <w:rPr>
          <w:rFonts w:hint="eastAsia"/>
          <w:lang w:eastAsia="zh-CN"/>
        </w:rPr>
        <w:t>。</w:t>
      </w:r>
      <w:r>
        <w:rPr>
          <w:rFonts w:hint="eastAsia"/>
        </w:rPr>
        <w:t>岸电电源设备的系统额定输出容量等级宜采用系列为：7kVA、20kVA、40kVA、80kVA。</w:t>
      </w:r>
    </w:p>
    <w:p>
      <w:pPr>
        <w:ind w:firstLine="560"/>
        <w:rPr>
          <w:rFonts w:hint="eastAsia"/>
        </w:rPr>
      </w:pPr>
      <w:r>
        <w:rPr>
          <w:rFonts w:hint="eastAsia"/>
        </w:rPr>
        <w:t>要求额定电压和额定电流分别为 400V/32A 和 230V/32A 的交流电芯和中心线线缆截面积不小于 10mm</w:t>
      </w:r>
      <w:r>
        <w:rPr>
          <w:rFonts w:hint="eastAsia"/>
          <w:vertAlign w:val="superscript"/>
        </w:rPr>
        <w:t>2</w:t>
      </w:r>
      <w:r>
        <w:rPr>
          <w:rFonts w:hint="eastAsia"/>
        </w:rPr>
        <w:t xml:space="preserve">，接地线线缆截面积不小于 6mm </w:t>
      </w:r>
      <w:r>
        <w:rPr>
          <w:rFonts w:hint="eastAsia"/>
          <w:vertAlign w:val="superscript"/>
        </w:rPr>
        <w:t>2</w:t>
      </w:r>
      <w:r>
        <w:rPr>
          <w:rFonts w:hint="eastAsia"/>
        </w:rPr>
        <w:t>。三相岸电电源设备连接器应包含 5 对触头，单相岸电电源设备连接器应包含 3 对触头。额定电流63A及以上岸电电源设备还应额外设置一组接插件，接插件应符合《工业用插头插座和耦合器》（GB/T 11918.5）的有关规定，三相岸电电源设备连接器应包含8对触头，其中P1、P2表示控制触头，S+、S-表示通信触头，通过P1和P2一组控制触头实现岸侧电气连锁。</w:t>
      </w:r>
    </w:p>
    <w:p>
      <w:pPr>
        <w:ind w:firstLine="560"/>
        <w:rPr>
          <w:rFonts w:hint="eastAsia"/>
        </w:rPr>
      </w:pPr>
      <w:r>
        <w:rPr>
          <w:rFonts w:hint="eastAsia"/>
          <w:b/>
          <w:bCs/>
        </w:rPr>
        <w:t xml:space="preserve">第 </w:t>
      </w:r>
      <w:r>
        <w:rPr>
          <w:rFonts w:hint="eastAsia"/>
          <w:b/>
          <w:bCs/>
          <w:lang w:val="en-US" w:eastAsia="zh-CN"/>
        </w:rPr>
        <w:t>7</w:t>
      </w:r>
      <w:r>
        <w:rPr>
          <w:rFonts w:hint="eastAsia"/>
          <w:b/>
          <w:bCs/>
        </w:rPr>
        <w:t>章为安全性及电磁兼容要求</w:t>
      </w:r>
      <w:r>
        <w:rPr>
          <w:rFonts w:hint="eastAsia"/>
        </w:rPr>
        <w:t>，主要规定了电气绝缘性能、电磁兼容性能、接地和安全保护等要求。</w:t>
      </w:r>
    </w:p>
    <w:p>
      <w:pPr>
        <w:ind w:firstLine="560"/>
        <w:rPr>
          <w:rFonts w:hint="eastAsia"/>
        </w:rPr>
      </w:pPr>
      <w:r>
        <w:rPr>
          <w:rFonts w:hint="eastAsia"/>
          <w:b/>
          <w:bCs/>
        </w:rPr>
        <w:t>第</w:t>
      </w:r>
      <w:r>
        <w:rPr>
          <w:rFonts w:hint="eastAsia"/>
          <w:b/>
          <w:bCs/>
          <w:lang w:val="en-US" w:eastAsia="zh-CN"/>
        </w:rPr>
        <w:t>8</w:t>
      </w:r>
      <w:r>
        <w:rPr>
          <w:rFonts w:hint="eastAsia"/>
          <w:b/>
          <w:bCs/>
        </w:rPr>
        <w:t>章为安装要求</w:t>
      </w:r>
      <w:r>
        <w:rPr>
          <w:rFonts w:hint="eastAsia"/>
        </w:rPr>
        <w:t>，主要规定了码头根据需求自行选择用落地式或壁挂式安装方式。</w:t>
      </w:r>
    </w:p>
    <w:p>
      <w:pPr>
        <w:ind w:firstLine="560"/>
        <w:rPr>
          <w:rFonts w:hint="eastAsia"/>
        </w:rPr>
      </w:pPr>
      <w:r>
        <w:rPr>
          <w:rFonts w:hint="eastAsia"/>
          <w:b/>
          <w:bCs/>
        </w:rPr>
        <w:t>第</w:t>
      </w:r>
      <w:r>
        <w:rPr>
          <w:rFonts w:hint="eastAsia"/>
          <w:b/>
          <w:bCs/>
          <w:lang w:val="en-US" w:eastAsia="zh-CN"/>
        </w:rPr>
        <w:t>9</w:t>
      </w:r>
      <w:r>
        <w:rPr>
          <w:rFonts w:hint="eastAsia"/>
          <w:b/>
          <w:bCs/>
        </w:rPr>
        <w:t>章为选装件要求</w:t>
      </w:r>
      <w:r>
        <w:rPr>
          <w:rFonts w:hint="eastAsia"/>
        </w:rPr>
        <w:t>，主要规定了码头根据需求可选配电缆管理装置等配件，电缆管理装置宜设置在防止水淹的位置，其布置和使用不应影响码头正常作业。</w:t>
      </w:r>
    </w:p>
    <w:p>
      <w:pPr>
        <w:pStyle w:val="3"/>
      </w:pPr>
      <w:bookmarkStart w:id="110" w:name="_Toc20287"/>
      <w:r>
        <w:rPr>
          <w:rFonts w:hint="eastAsia"/>
        </w:rPr>
        <w:t>第</w:t>
      </w:r>
      <w:r>
        <w:rPr>
          <w:rFonts w:hint="eastAsia"/>
          <w:lang w:val="en-US" w:eastAsia="zh-CN"/>
        </w:rPr>
        <w:t>5</w:t>
      </w:r>
      <w:r>
        <w:rPr>
          <w:rFonts w:hint="eastAsia"/>
        </w:rPr>
        <w:t xml:space="preserve">章  </w:t>
      </w:r>
      <w:r>
        <w:rPr>
          <w:rFonts w:hint="eastAsia"/>
          <w:lang w:val="en-US" w:eastAsia="zh-CN"/>
        </w:rPr>
        <w:t>标准编制过程</w:t>
      </w:r>
      <w:bookmarkEnd w:id="110"/>
    </w:p>
    <w:p>
      <w:pPr>
        <w:pStyle w:val="4"/>
        <w:rPr>
          <w:rFonts w:hint="eastAsia"/>
        </w:rPr>
      </w:pPr>
      <w:bookmarkStart w:id="111" w:name="_Toc8214"/>
      <w:r>
        <w:rPr>
          <w:rFonts w:hint="eastAsia"/>
          <w:lang w:val="en-US" w:eastAsia="zh-CN"/>
        </w:rPr>
        <w:t>5</w:t>
      </w:r>
      <w:r>
        <w:rPr>
          <w:rFonts w:hint="eastAsia"/>
        </w:rPr>
        <w:t>.1 计划与安排</w:t>
      </w:r>
      <w:bookmarkEnd w:id="111"/>
    </w:p>
    <w:tbl>
      <w:tblPr>
        <w:tblStyle w:val="38"/>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96"/>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序号</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审查阶段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计划时间</w:t>
            </w:r>
          </w:p>
        </w:tc>
        <w:tc>
          <w:tcPr>
            <w:tcW w:w="490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大纲及</w:t>
            </w:r>
            <w:r>
              <w:rPr>
                <w:rFonts w:hint="default" w:ascii="Times New Roman" w:hAnsi="Times New Roman" w:eastAsia="宋体" w:cs="Times New Roman"/>
                <w:sz w:val="24"/>
                <w:szCs w:val="24"/>
                <w:lang w:val="en-US" w:eastAsia="zh-CN"/>
              </w:rPr>
              <w:t>初稿阶段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8月5-</w:t>
            </w:r>
            <w:r>
              <w:rPr>
                <w:rFonts w:hint="eastAsia" w:cs="Times New Roman"/>
                <w:sz w:val="24"/>
                <w:szCs w:val="24"/>
                <w:lang w:val="en-US" w:eastAsia="zh-CN"/>
              </w:rPr>
              <w:t>9月12</w:t>
            </w:r>
            <w:r>
              <w:rPr>
                <w:rFonts w:hint="eastAsia" w:ascii="Times New Roman" w:hAnsi="Times New Roman" w:eastAsia="宋体" w:cs="Times New Roman"/>
                <w:sz w:val="24"/>
                <w:szCs w:val="24"/>
                <w:lang w:val="en-US" w:eastAsia="zh-CN"/>
              </w:rPr>
              <w:t>日</w:t>
            </w:r>
          </w:p>
        </w:tc>
        <w:tc>
          <w:tcPr>
            <w:tcW w:w="49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（1）呈报标委会分会审核大纲及初稿</w:t>
            </w:r>
          </w:p>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（2）召开大纲及初稿审查会</w:t>
            </w:r>
          </w:p>
          <w:p>
            <w:pPr>
              <w:keepNext w:val="0"/>
              <w:keepLines w:val="0"/>
              <w:suppressLineNumbers w:val="0"/>
              <w:spacing w:before="0" w:beforeAutospacing="0" w:after="0" w:afterAutospacing="0" w:line="240" w:lineRule="auto"/>
              <w:ind w:left="0" w:right="0" w:firstLine="0" w:firstLineChars="0"/>
              <w:jc w:val="left"/>
              <w:rPr>
                <w:rFonts w:hint="default"/>
                <w:lang w:val="en-US" w:eastAsia="zh-CN"/>
              </w:rPr>
            </w:pPr>
            <w:r>
              <w:rPr>
                <w:rFonts w:hint="eastAsia" w:ascii="Times New Roman" w:hAnsi="Times New Roman" w:eastAsia="宋体" w:cs="Times New Roman"/>
                <w:sz w:val="24"/>
                <w:szCs w:val="24"/>
                <w:lang w:val="en-US" w:eastAsia="zh-CN"/>
              </w:rPr>
              <w:t>（3）根据专家意见修改完善标准初稿。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初稿征求意见阶段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9</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13</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10</w:t>
            </w:r>
            <w:r>
              <w:rPr>
                <w:rFonts w:hint="eastAsia" w:ascii="Times New Roman" w:hAnsi="Times New Roman" w:eastAsia="宋体" w:cs="Times New Roman"/>
                <w:sz w:val="24"/>
                <w:szCs w:val="24"/>
                <w:lang w:val="en-US" w:eastAsia="zh-CN"/>
              </w:rPr>
              <w:t>月18日</w:t>
            </w:r>
          </w:p>
        </w:tc>
        <w:tc>
          <w:tcPr>
            <w:tcW w:w="49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（1）初稿征求意见，单位不少于10家，时间2周</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（2）根据征求意见反馈情况修改完善，形成标准征求意见稿，并报标委会分会。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征求意见稿征求意见阶段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10</w:t>
            </w:r>
            <w:r>
              <w:rPr>
                <w:rFonts w:hint="eastAsia" w:ascii="Times New Roman" w:hAnsi="Times New Roman" w:eastAsia="宋体" w:cs="Times New Roman"/>
                <w:sz w:val="24"/>
                <w:szCs w:val="24"/>
                <w:lang w:val="en-US" w:eastAsia="zh-CN"/>
              </w:rPr>
              <w:t>月19日-1</w:t>
            </w:r>
            <w:r>
              <w:rPr>
                <w:rFonts w:hint="eastAsia" w:cs="Times New Roman"/>
                <w:sz w:val="24"/>
                <w:szCs w:val="24"/>
                <w:lang w:val="en-US" w:eastAsia="zh-CN"/>
              </w:rPr>
              <w:t>1</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28</w:t>
            </w:r>
            <w:r>
              <w:rPr>
                <w:rFonts w:hint="eastAsia" w:ascii="Times New Roman" w:hAnsi="Times New Roman" w:eastAsia="宋体" w:cs="Times New Roman"/>
                <w:sz w:val="24"/>
                <w:szCs w:val="24"/>
                <w:lang w:val="en-US" w:eastAsia="zh-CN"/>
              </w:rPr>
              <w:t>日</w:t>
            </w:r>
          </w:p>
        </w:tc>
        <w:tc>
          <w:tcPr>
            <w:tcW w:w="49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（1）标委会分审核报送的标准征求意见稿文件</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（2）征求意见稿由标委会征求意见，单位不少于10家，时间1个月</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（3）根据征求意见稿反馈意见，修改完善标准文本，形成标准送审稿，并报标委会分会。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送审稿阶段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cs="Times New Roman"/>
                <w:sz w:val="24"/>
                <w:szCs w:val="24"/>
                <w:lang w:val="en-US" w:eastAsia="zh-CN"/>
              </w:rPr>
              <w:t>1</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29</w:t>
            </w:r>
            <w:r>
              <w:rPr>
                <w:rFonts w:hint="eastAsia" w:ascii="Times New Roman" w:hAnsi="Times New Roman" w:eastAsia="宋体" w:cs="Times New Roman"/>
                <w:sz w:val="24"/>
                <w:szCs w:val="24"/>
                <w:lang w:val="en-US" w:eastAsia="zh-CN"/>
              </w:rPr>
              <w:t>日-1</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月13日</w:t>
            </w:r>
          </w:p>
        </w:tc>
        <w:tc>
          <w:tcPr>
            <w:tcW w:w="4902"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（1）标委会分审核报送的标准送审稿文件</w:t>
            </w:r>
          </w:p>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（2）标委会分会组织召开送审稿审查会</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（3）根据送审稿审查会专家和代表意见，对送审稿进行修改完善，形成标准总校稿。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总校阶段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月14-20日</w:t>
            </w:r>
          </w:p>
        </w:tc>
        <w:tc>
          <w:tcPr>
            <w:tcW w:w="4902"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（1）召开标准总校稿总校会</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（2）根据总校会讨论意见，修改完善总校稿，形成报批稿，并将报批文件报标委会分会。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报批阶段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月21日</w:t>
            </w:r>
            <w:r>
              <w:rPr>
                <w:rFonts w:hint="eastAsia" w:cs="Times New Roman"/>
                <w:sz w:val="24"/>
                <w:szCs w:val="24"/>
                <w:lang w:val="en-US" w:eastAsia="zh-CN"/>
              </w:rPr>
              <w:t>开始</w:t>
            </w:r>
          </w:p>
        </w:tc>
        <w:tc>
          <w:tcPr>
            <w:tcW w:w="4902" w:type="dxa"/>
            <w:vAlign w:val="center"/>
          </w:tcPr>
          <w:p>
            <w:pPr>
              <w:keepNext w:val="0"/>
              <w:keepLines w:val="0"/>
              <w:numPr>
                <w:ilvl w:val="0"/>
                <w:numId w:val="4"/>
              </w:numPr>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标委会分会、标委会（秘书处）、管委会（办公室）对标准报批文件进行审核，审核通过后，报省市场监督管理局</w:t>
            </w:r>
          </w:p>
          <w:p>
            <w:pPr>
              <w:keepNext w:val="0"/>
              <w:keepLines w:val="0"/>
              <w:numPr>
                <w:ilvl w:val="0"/>
                <w:numId w:val="4"/>
              </w:numPr>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省市场监督管理局对管委会（办公室）报送的报批文件进行审核。</w:t>
            </w:r>
          </w:p>
        </w:tc>
      </w:tr>
    </w:tbl>
    <w:p/>
    <w:p>
      <w:pPr>
        <w:pStyle w:val="4"/>
        <w:rPr>
          <w:rFonts w:hint="eastAsia"/>
          <w:lang w:eastAsia="zh-CN"/>
        </w:rPr>
      </w:pPr>
      <w:bookmarkStart w:id="112" w:name="_Toc17130"/>
      <w:r>
        <w:rPr>
          <w:rFonts w:hint="eastAsia"/>
          <w:lang w:val="en-US" w:eastAsia="zh-CN"/>
        </w:rPr>
        <w:t>5</w:t>
      </w:r>
      <w:r>
        <w:rPr>
          <w:rFonts w:hint="eastAsia"/>
        </w:rPr>
        <w:t>.</w:t>
      </w:r>
      <w:r>
        <w:rPr>
          <w:rFonts w:hint="eastAsia"/>
          <w:lang w:val="en-US" w:eastAsia="zh-CN"/>
        </w:rPr>
        <w:t>2</w:t>
      </w:r>
      <w:r>
        <w:rPr>
          <w:rFonts w:hint="eastAsia"/>
        </w:rPr>
        <w:t xml:space="preserve"> 标准文稿的编制情况</w:t>
      </w:r>
      <w:bookmarkEnd w:id="112"/>
    </w:p>
    <w:p>
      <w:pPr>
        <w:ind w:firstLine="560"/>
        <w:rPr>
          <w:rFonts w:hint="eastAsia"/>
          <w:lang w:eastAsia="zh-CN"/>
        </w:rPr>
      </w:pPr>
      <w:r>
        <w:rPr>
          <w:rFonts w:hint="eastAsia"/>
          <w:lang w:eastAsia="zh-CN"/>
        </w:rPr>
        <w:t>202</w:t>
      </w:r>
      <w:r>
        <w:rPr>
          <w:rFonts w:hint="eastAsia"/>
          <w:lang w:val="en-US" w:eastAsia="zh-CN"/>
        </w:rPr>
        <w:t>2</w:t>
      </w:r>
      <w:r>
        <w:rPr>
          <w:rFonts w:hint="eastAsia"/>
          <w:lang w:eastAsia="zh-CN"/>
        </w:rPr>
        <w:t>年</w:t>
      </w:r>
      <w:r>
        <w:rPr>
          <w:rFonts w:hint="eastAsia"/>
          <w:lang w:val="en-US" w:eastAsia="zh-CN"/>
        </w:rPr>
        <w:t>8</w:t>
      </w:r>
      <w:r>
        <w:rPr>
          <w:rFonts w:hint="eastAsia"/>
          <w:lang w:eastAsia="zh-CN"/>
        </w:rPr>
        <w:t>月以前为本标准的前期研究阶段，具体开展的工作如下：</w:t>
      </w:r>
    </w:p>
    <w:p>
      <w:pPr>
        <w:ind w:firstLine="560"/>
        <w:rPr>
          <w:rFonts w:hint="eastAsia"/>
          <w:lang w:eastAsia="zh-CN"/>
        </w:rPr>
      </w:pPr>
      <w:r>
        <w:rPr>
          <w:rFonts w:hint="eastAsia"/>
          <w:lang w:eastAsia="zh-CN"/>
        </w:rPr>
        <w:t>2018年3月-2019年3月，广东省交通运输规划研究中心、</w:t>
      </w:r>
      <w:r>
        <w:rPr>
          <w:rFonts w:hint="eastAsia"/>
          <w:lang w:val="en-US" w:eastAsia="zh-CN"/>
        </w:rPr>
        <w:t>广东电网公司</w:t>
      </w:r>
      <w:r>
        <w:rPr>
          <w:rFonts w:hint="eastAsia"/>
          <w:lang w:eastAsia="zh-CN"/>
        </w:rPr>
        <w:t>开展《广东省内河港口岸电设施建设技术要求》的编制工作。经查阅相关文件、深入调研、专家座谈，分析研究等，形成《广东省内河港口岸电设施建设技术要求》。</w:t>
      </w:r>
    </w:p>
    <w:p>
      <w:pPr>
        <w:ind w:firstLine="560"/>
        <w:rPr>
          <w:rFonts w:hint="eastAsia"/>
          <w:lang w:eastAsia="zh-CN"/>
        </w:rPr>
      </w:pPr>
      <w:r>
        <w:rPr>
          <w:rFonts w:hint="eastAsia"/>
          <w:lang w:eastAsia="zh-CN"/>
        </w:rPr>
        <w:t>2019年7月-12月，广东省交通运输规划研究中心承担了广东省交通运输厅研究项目《广东省内河港口岸电建设项目技术标准研究》，本标准编制组在充分调查研究广东省已建内河港口岸电设施建设使用情况的基础上，分析并解决建设使用中存在的问题，深入调查论证，在广泛征求意见的基础上，按照标准编写规则编制</w:t>
      </w:r>
      <w:r>
        <w:rPr>
          <w:rFonts w:hint="eastAsia"/>
          <w:lang w:val="en-US" w:eastAsia="zh-CN"/>
        </w:rPr>
        <w:t>标准草案，并由省交通运输厅推荐申报广东省地方标准</w:t>
      </w:r>
      <w:r>
        <w:rPr>
          <w:rFonts w:hint="eastAsia"/>
          <w:lang w:eastAsia="zh-CN"/>
        </w:rPr>
        <w:t>。</w:t>
      </w:r>
      <w:r>
        <w:rPr>
          <w:rFonts w:hint="eastAsia"/>
          <w:lang w:val="en-US" w:eastAsia="zh-CN"/>
        </w:rPr>
        <w:t>根据</w:t>
      </w:r>
      <w:r>
        <w:rPr>
          <w:rFonts w:hint="eastAsia"/>
          <w:lang w:eastAsia="zh-CN"/>
        </w:rPr>
        <w:t>广东省市场监督管理局关于批准下达 2020 年第一批广东省地方标准 制修订计划项目的通知（粤市监标准〔2020〕463 号），本标准于202</w:t>
      </w:r>
      <w:r>
        <w:rPr>
          <w:rFonts w:hint="eastAsia"/>
          <w:lang w:val="en-US" w:eastAsia="zh-CN"/>
        </w:rPr>
        <w:t>0</w:t>
      </w:r>
      <w:r>
        <w:rPr>
          <w:rFonts w:hint="eastAsia"/>
          <w:lang w:eastAsia="zh-CN"/>
        </w:rPr>
        <w:t>年</w:t>
      </w:r>
      <w:r>
        <w:rPr>
          <w:rFonts w:hint="eastAsia"/>
          <w:lang w:val="en-US" w:eastAsia="zh-CN"/>
        </w:rPr>
        <w:t>8</w:t>
      </w:r>
      <w:r>
        <w:rPr>
          <w:rFonts w:hint="eastAsia"/>
          <w:lang w:eastAsia="zh-CN"/>
        </w:rPr>
        <w:t>月纳入广东省地方标准制修订计划项目。</w:t>
      </w:r>
    </w:p>
    <w:p>
      <w:pPr>
        <w:ind w:firstLine="560"/>
        <w:rPr>
          <w:rFonts w:hint="eastAsia"/>
          <w:lang w:eastAsia="zh-CN"/>
        </w:rPr>
      </w:pPr>
      <w:r>
        <w:rPr>
          <w:rFonts w:hint="eastAsia"/>
          <w:lang w:val="en-US" w:eastAsia="zh-CN"/>
        </w:rPr>
        <w:t>2020年8月到2022年9月，标准编写人员</w:t>
      </w:r>
      <w:r>
        <w:rPr>
          <w:rFonts w:hint="eastAsia"/>
          <w:lang w:eastAsia="zh-CN"/>
        </w:rPr>
        <w:t>结合广东省实际，在系统总结内河岸电建设和使用经验的基础上，进一步补充完善了内河港口岸电设施建设要求的内容，</w:t>
      </w:r>
      <w:r>
        <w:rPr>
          <w:rFonts w:hint="eastAsia"/>
          <w:lang w:val="en-US" w:eastAsia="zh-CN"/>
        </w:rPr>
        <w:t>并</w:t>
      </w:r>
      <w:r>
        <w:rPr>
          <w:rFonts w:hint="eastAsia"/>
          <w:lang w:eastAsia="zh-CN"/>
        </w:rPr>
        <w:t>根据广东省地方标准编写要求，编制了标准编写工作大纲和修改完善《广东省内河港口岸电设施建设技术规范》（初稿），</w:t>
      </w:r>
      <w:r>
        <w:rPr>
          <w:rFonts w:hint="eastAsia"/>
          <w:lang w:val="en-US" w:eastAsia="zh-CN"/>
        </w:rPr>
        <w:t>并召开了大纲和初稿审查会，并根据会议专家意见修改完善</w:t>
      </w:r>
      <w:r>
        <w:rPr>
          <w:rFonts w:hint="eastAsia"/>
          <w:lang w:eastAsia="zh-CN"/>
        </w:rPr>
        <w:t>。</w:t>
      </w:r>
    </w:p>
    <w:p>
      <w:pPr>
        <w:ind w:firstLine="560"/>
        <w:rPr>
          <w:rFonts w:hint="default"/>
          <w:lang w:val="en-US" w:eastAsia="zh-CN"/>
        </w:rPr>
      </w:pPr>
      <w:r>
        <w:rPr>
          <w:rFonts w:hint="eastAsia"/>
          <w:lang w:val="en-US" w:eastAsia="zh-CN"/>
        </w:rPr>
        <w:t>2022年9月到10月，标准编制人员根据初稿征求意见反复进行讨论并对标准进行修改完善，形成了《广东省内河港口岸电设施建设技术规范》征求意见稿。</w:t>
      </w:r>
    </w:p>
    <w:p>
      <w:pPr>
        <w:pStyle w:val="4"/>
        <w:rPr>
          <w:rFonts w:hint="eastAsia"/>
          <w:lang w:eastAsia="zh-CN"/>
        </w:rPr>
      </w:pPr>
      <w:bookmarkStart w:id="113" w:name="_Toc19988"/>
      <w:r>
        <w:rPr>
          <w:rFonts w:hint="eastAsia"/>
          <w:lang w:val="en-US" w:eastAsia="zh-CN"/>
        </w:rPr>
        <w:t>5</w:t>
      </w:r>
      <w:r>
        <w:rPr>
          <w:rFonts w:hint="eastAsia"/>
        </w:rPr>
        <w:t>.</w:t>
      </w:r>
      <w:r>
        <w:rPr>
          <w:rFonts w:hint="eastAsia"/>
          <w:lang w:val="en-US" w:eastAsia="zh-CN"/>
        </w:rPr>
        <w:t>3</w:t>
      </w:r>
      <w:r>
        <w:rPr>
          <w:rFonts w:hint="eastAsia"/>
        </w:rPr>
        <w:t xml:space="preserve"> 标准文稿</w:t>
      </w:r>
      <w:r>
        <w:rPr>
          <w:rFonts w:hint="eastAsia"/>
          <w:lang w:val="en-US" w:eastAsia="zh-CN"/>
        </w:rPr>
        <w:t>征求意见</w:t>
      </w:r>
      <w:r>
        <w:rPr>
          <w:rFonts w:hint="eastAsia"/>
        </w:rPr>
        <w:t>情况</w:t>
      </w:r>
      <w:bookmarkEnd w:id="113"/>
    </w:p>
    <w:p>
      <w:pPr>
        <w:ind w:firstLine="560"/>
        <w:rPr>
          <w:rFonts w:hint="eastAsia"/>
          <w:lang w:eastAsia="zh-CN"/>
        </w:rPr>
      </w:pPr>
      <w:r>
        <w:rPr>
          <w:rFonts w:hint="eastAsia"/>
          <w:lang w:eastAsia="zh-CN"/>
        </w:rPr>
        <w:t>2021年</w:t>
      </w:r>
      <w:r>
        <w:rPr>
          <w:rFonts w:hint="eastAsia"/>
          <w:lang w:val="en-US" w:eastAsia="zh-CN"/>
        </w:rPr>
        <w:t>9</w:t>
      </w:r>
      <w:r>
        <w:rPr>
          <w:rFonts w:hint="eastAsia"/>
          <w:lang w:eastAsia="zh-CN"/>
        </w:rPr>
        <w:t>月15日，</w:t>
      </w:r>
      <w:r>
        <w:rPr>
          <w:rFonts w:hint="eastAsia"/>
          <w:lang w:val="en-US" w:eastAsia="zh-CN"/>
        </w:rPr>
        <w:t>广东省交通运输规划研究中心</w:t>
      </w:r>
      <w:r>
        <w:rPr>
          <w:rFonts w:hint="eastAsia"/>
          <w:lang w:eastAsia="zh-CN"/>
        </w:rPr>
        <w:t>向</w:t>
      </w:r>
      <w:r>
        <w:rPr>
          <w:rFonts w:hint="eastAsia"/>
          <w:lang w:val="en-US" w:eastAsia="zh-CN"/>
        </w:rPr>
        <w:t>港航企业</w:t>
      </w:r>
      <w:r>
        <w:rPr>
          <w:rFonts w:hint="eastAsia"/>
          <w:lang w:eastAsia="zh-CN"/>
        </w:rPr>
        <w:t>、设计科研单位</w:t>
      </w:r>
      <w:r>
        <w:rPr>
          <w:rFonts w:hint="eastAsia"/>
          <w:lang w:val="en-US" w:eastAsia="zh-CN"/>
        </w:rPr>
        <w:t>等</w:t>
      </w:r>
      <w:r>
        <w:rPr>
          <w:rFonts w:hint="eastAsia"/>
          <w:lang w:eastAsia="zh-CN"/>
        </w:rPr>
        <w:t>，共</w:t>
      </w:r>
      <w:r>
        <w:rPr>
          <w:rFonts w:hint="eastAsia"/>
          <w:lang w:val="en-US" w:eastAsia="zh-CN"/>
        </w:rPr>
        <w:t>22</w:t>
      </w:r>
      <w:r>
        <w:rPr>
          <w:rFonts w:hint="eastAsia"/>
          <w:lang w:eastAsia="zh-CN"/>
        </w:rPr>
        <w:t>家单位征求意见。根据征求意见对《广东省内河港口岸电设施建设技术规范》进行了修改，主要修改内容如下：</w:t>
      </w:r>
    </w:p>
    <w:p>
      <w:pPr>
        <w:numPr>
          <w:ilvl w:val="0"/>
          <w:numId w:val="5"/>
        </w:numPr>
        <w:ind w:firstLine="560"/>
        <w:rPr>
          <w:rFonts w:hint="eastAsia"/>
          <w:lang w:val="en-US" w:eastAsia="zh-CN"/>
        </w:rPr>
      </w:pPr>
      <w:r>
        <w:rPr>
          <w:rFonts w:hint="eastAsia"/>
          <w:lang w:val="en-US" w:eastAsia="zh-CN"/>
        </w:rPr>
        <w:t>增加引用文件GB/T 11918.5工业用插头插座和耦合器 第5部分：低压岸电连接系统（LVSC系统）用插头、插座、船用连接器和船用输入插座的尺寸兼容性和互换性要求。</w:t>
      </w:r>
    </w:p>
    <w:p>
      <w:pPr>
        <w:ind w:firstLine="560"/>
        <w:rPr>
          <w:rFonts w:hint="default"/>
          <w:lang w:val="en-US" w:eastAsia="zh-CN"/>
        </w:rPr>
      </w:pPr>
      <w:r>
        <w:rPr>
          <w:rFonts w:hint="eastAsia"/>
          <w:lang w:val="en-US" w:eastAsia="zh-CN"/>
        </w:rPr>
        <w:t>（2）删除术语电缆管理装置。</w:t>
      </w:r>
    </w:p>
    <w:p>
      <w:pPr>
        <w:ind w:firstLine="560"/>
        <w:rPr>
          <w:rFonts w:hint="eastAsia"/>
          <w:lang w:val="en-US" w:eastAsia="zh-CN"/>
        </w:rPr>
      </w:pPr>
      <w:r>
        <w:rPr>
          <w:rFonts w:hint="eastAsia"/>
          <w:lang w:val="en-US" w:eastAsia="zh-CN"/>
        </w:rPr>
        <w:t>（3）</w:t>
      </w:r>
      <w:r>
        <w:rPr>
          <w:rFonts w:hint="eastAsia"/>
        </w:rPr>
        <w:t>漏电保护</w:t>
      </w:r>
      <w:r>
        <w:rPr>
          <w:rFonts w:hint="eastAsia"/>
          <w:lang w:val="en-US" w:eastAsia="zh-CN"/>
        </w:rPr>
        <w:t>功能增加岸电箱每个插座回路均应设置独立的漏电保护装置，两个插座不得共用一个漏电能保护装置</w:t>
      </w:r>
    </w:p>
    <w:p>
      <w:pPr>
        <w:ind w:firstLine="560"/>
        <w:rPr>
          <w:rFonts w:hint="eastAsia"/>
          <w:lang w:val="en-US" w:eastAsia="zh-CN"/>
        </w:rPr>
      </w:pPr>
      <w:r>
        <w:rPr>
          <w:rFonts w:hint="eastAsia"/>
          <w:lang w:val="en-US" w:eastAsia="zh-CN"/>
        </w:rPr>
        <w:t>（4）本规范5.1增加岸电接电装置处宜设置视频监视和语音通信设备功能。</w:t>
      </w:r>
      <w:bookmarkStart w:id="114" w:name="_GoBack"/>
      <w:bookmarkEnd w:id="114"/>
    </w:p>
    <w:p>
      <w:pPr>
        <w:ind w:firstLine="560"/>
        <w:rPr>
          <w:rFonts w:hint="default"/>
          <w:lang w:val="en-US" w:eastAsia="zh-CN"/>
        </w:rPr>
      </w:pPr>
      <w:r>
        <w:rPr>
          <w:rFonts w:hint="eastAsia"/>
          <w:lang w:val="en-US" w:eastAsia="zh-CN"/>
        </w:rPr>
        <w:t>（5）基于标准文件《GB/T 11918.5-2020 工业用插头插座和耦合器 第5部分：低压岸电连接系统（LVSC系统）用插头、插座、船用连接器和船用输入插座的尺寸兼容性和互换性要求》，考虑到船舶受电设施改造过渡期，在本规范接插件配置中规定额定电流63A及以上岸电电源设备还应额外设置一组接插件，接插件应符合《工业用插头插座和耦合器》（GB/T 11918.5）的有关规定，三相岸电电源设备连接器应包含8对触头，其中P1、P2表示控制触头，S+、S-表示通信触头，通过P1和P2一组控制触头实现岸侧电气连锁。</w:t>
      </w:r>
    </w:p>
    <w:p>
      <w:pPr>
        <w:ind w:firstLine="560"/>
        <w:rPr>
          <w:rFonts w:hint="default"/>
          <w:lang w:val="en-US" w:eastAsia="zh-CN"/>
        </w:rPr>
      </w:pPr>
    </w:p>
    <w:p>
      <w:pPr>
        <w:ind w:firstLine="560"/>
        <w:rPr>
          <w:rFonts w:hint="default"/>
          <w:lang w:val="en-US" w:eastAsia="zh-CN"/>
        </w:rPr>
      </w:pPr>
    </w:p>
    <w:p>
      <w:pPr>
        <w:ind w:firstLine="560"/>
        <w:rPr>
          <w:rFonts w:hint="default"/>
          <w:lang w:val="en-US" w:eastAsia="zh-CN"/>
        </w:rPr>
      </w:pPr>
    </w:p>
    <w:p>
      <w:pPr>
        <w:ind w:firstLine="560"/>
        <w:rPr>
          <w:rFonts w:hint="eastAsia"/>
          <w:lang w:eastAsia="zh-CN"/>
        </w:rPr>
      </w:pPr>
    </w:p>
    <w:p>
      <w:pPr>
        <w:pStyle w:val="2"/>
        <w:rPr>
          <w:rFonts w:hint="eastAsia"/>
          <w:lang w:eastAsia="zh-CN"/>
        </w:rPr>
      </w:pPr>
    </w:p>
    <w:sectPr>
      <w:headerReference r:id="rId9" w:type="default"/>
      <w:footerReference r:id="rId10"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fldChar w:fldCharType="begin"/>
    </w:r>
    <w:r>
      <w:instrText xml:space="preserve">PAGE   \* MERGEFORMAT</w:instrText>
    </w:r>
    <w:r>
      <w:fldChar w:fldCharType="separate"/>
    </w:r>
    <w:r>
      <w:rPr>
        <w:lang w:val="zh-CN"/>
      </w:rPr>
      <w:t>II</w:t>
    </w:r>
    <w:r>
      <w:rPr>
        <w:lang w:val="zh-CN"/>
      </w:rPr>
      <w:fldChar w:fldCharType="end"/>
    </w:r>
  </w:p>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rPr>
        <w:sz w:val="18"/>
      </w:rPr>
      <w:pict>
        <v:shape id="_x0000_s4097" o:spid="_x0000_s4097" o:spt="202" type="#_x0000_t202" style="position:absolute;left:0pt;margin-left:200.75pt;margin-top:0pt;height:16.3pt;width:32.85pt;mso-position-horizontal-relative:margin;z-index:251658240;mso-width-relative:page;mso-height-relative:page;" filled="f" stroked="f" coordsize="21600,21600">
          <v:path/>
          <v:fill on="f" focussize="0,0"/>
          <v:stroke on="f"/>
          <v:imagedata o:title=""/>
          <o:lock v:ext="edit" aspectratio="f"/>
          <v:textbox inset="0mm,0mm,0mm,0mm">
            <w:txbxContent>
              <w:p>
                <w:pPr>
                  <w:pStyle w:val="25"/>
                  <w:ind w:left="0" w:leftChars="0" w:firstLine="180" w:firstLineChars="100"/>
                  <w:jc w:val="both"/>
                </w:pPr>
                <w:r>
                  <w:fldChar w:fldCharType="begin"/>
                </w:r>
                <w:r>
                  <w:instrText xml:space="preserve">PAGE   \* MERGEFORMAT</w:instrText>
                </w:r>
                <w:r>
                  <w:fldChar w:fldCharType="separate"/>
                </w:r>
                <w:r>
                  <w:rPr>
                    <w:lang w:val="zh-CN"/>
                  </w:rPr>
                  <w:t>50</w:t>
                </w:r>
                <w:r>
                  <w:fldChar w:fldCharType="end"/>
                </w:r>
              </w:p>
            </w:txbxContent>
          </v:textbox>
        </v:shape>
      </w:pict>
    </w:r>
  </w:p>
  <w:p>
    <w:pPr>
      <w:pStyle w:val="2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1A3D33"/>
    <w:multiLevelType w:val="singleLevel"/>
    <w:tmpl w:val="BD1A3D33"/>
    <w:lvl w:ilvl="0" w:tentative="0">
      <w:start w:val="1"/>
      <w:numFmt w:val="decimal"/>
      <w:suff w:val="nothing"/>
      <w:lvlText w:val="（%1）"/>
      <w:lvlJc w:val="left"/>
    </w:lvl>
  </w:abstractNum>
  <w:abstractNum w:abstractNumId="1">
    <w:nsid w:val="09027249"/>
    <w:multiLevelType w:val="singleLevel"/>
    <w:tmpl w:val="09027249"/>
    <w:lvl w:ilvl="0" w:tentative="0">
      <w:start w:val="1"/>
      <w:numFmt w:val="decimal"/>
      <w:suff w:val="nothing"/>
      <w:lvlText w:val="（%1）"/>
      <w:lvlJc w:val="left"/>
    </w:lvl>
  </w:abstractNum>
  <w:abstractNum w:abstractNumId="2">
    <w:nsid w:val="0D983844"/>
    <w:multiLevelType w:val="multilevel"/>
    <w:tmpl w:val="0D983844"/>
    <w:lvl w:ilvl="0" w:tentative="0">
      <w:start w:val="1"/>
      <w:numFmt w:val="decimal"/>
      <w:pStyle w:val="17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FC91163"/>
    <w:multiLevelType w:val="multilevel"/>
    <w:tmpl w:val="1FC91163"/>
    <w:lvl w:ilvl="0" w:tentative="0">
      <w:start w:val="1"/>
      <w:numFmt w:val="decimal"/>
      <w:pStyle w:val="1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7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1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73C3A"/>
    <w:rsid w:val="000316B1"/>
    <w:rsid w:val="000830CA"/>
    <w:rsid w:val="000C015A"/>
    <w:rsid w:val="00141151"/>
    <w:rsid w:val="0015205C"/>
    <w:rsid w:val="001A6621"/>
    <w:rsid w:val="001B3EA3"/>
    <w:rsid w:val="001E0A52"/>
    <w:rsid w:val="00257984"/>
    <w:rsid w:val="002B444F"/>
    <w:rsid w:val="002F3948"/>
    <w:rsid w:val="00306B51"/>
    <w:rsid w:val="00310E3A"/>
    <w:rsid w:val="00316FE0"/>
    <w:rsid w:val="0034596C"/>
    <w:rsid w:val="00371FF9"/>
    <w:rsid w:val="003A101B"/>
    <w:rsid w:val="003A4658"/>
    <w:rsid w:val="00424998"/>
    <w:rsid w:val="0056398C"/>
    <w:rsid w:val="00564C92"/>
    <w:rsid w:val="00594201"/>
    <w:rsid w:val="006C1B69"/>
    <w:rsid w:val="00725BBA"/>
    <w:rsid w:val="007E3343"/>
    <w:rsid w:val="008032BF"/>
    <w:rsid w:val="008504A1"/>
    <w:rsid w:val="008A1F26"/>
    <w:rsid w:val="008E2672"/>
    <w:rsid w:val="00914049"/>
    <w:rsid w:val="0093027C"/>
    <w:rsid w:val="009662B3"/>
    <w:rsid w:val="00973C3A"/>
    <w:rsid w:val="0097555F"/>
    <w:rsid w:val="009B14BA"/>
    <w:rsid w:val="009D1BB4"/>
    <w:rsid w:val="00A0339E"/>
    <w:rsid w:val="00A84A39"/>
    <w:rsid w:val="00B178E6"/>
    <w:rsid w:val="00B264DB"/>
    <w:rsid w:val="00B372FD"/>
    <w:rsid w:val="00B44575"/>
    <w:rsid w:val="00B55A79"/>
    <w:rsid w:val="00B705E0"/>
    <w:rsid w:val="00BD4D94"/>
    <w:rsid w:val="00BE4E33"/>
    <w:rsid w:val="00C37CBB"/>
    <w:rsid w:val="00C61497"/>
    <w:rsid w:val="00C65C20"/>
    <w:rsid w:val="00C72C28"/>
    <w:rsid w:val="00CA0D69"/>
    <w:rsid w:val="00CA5BBB"/>
    <w:rsid w:val="00D61B51"/>
    <w:rsid w:val="00D84149"/>
    <w:rsid w:val="00DF6797"/>
    <w:rsid w:val="00E00474"/>
    <w:rsid w:val="00E15311"/>
    <w:rsid w:val="00E163F1"/>
    <w:rsid w:val="00E24858"/>
    <w:rsid w:val="00EF77B5"/>
    <w:rsid w:val="00F45C49"/>
    <w:rsid w:val="00F96C50"/>
    <w:rsid w:val="00FA597F"/>
    <w:rsid w:val="01B0589B"/>
    <w:rsid w:val="01BA74B9"/>
    <w:rsid w:val="03136DC0"/>
    <w:rsid w:val="042C2BBD"/>
    <w:rsid w:val="05801496"/>
    <w:rsid w:val="06C3223F"/>
    <w:rsid w:val="06F74C08"/>
    <w:rsid w:val="07877F80"/>
    <w:rsid w:val="09350F50"/>
    <w:rsid w:val="09565666"/>
    <w:rsid w:val="09C4539B"/>
    <w:rsid w:val="09DA1D03"/>
    <w:rsid w:val="0D8314AB"/>
    <w:rsid w:val="0E4E61E8"/>
    <w:rsid w:val="0E8B2877"/>
    <w:rsid w:val="0EFF5E56"/>
    <w:rsid w:val="0F17625E"/>
    <w:rsid w:val="0F921C41"/>
    <w:rsid w:val="11717530"/>
    <w:rsid w:val="121F2C61"/>
    <w:rsid w:val="12554729"/>
    <w:rsid w:val="12684394"/>
    <w:rsid w:val="133F246E"/>
    <w:rsid w:val="13D76641"/>
    <w:rsid w:val="153A1282"/>
    <w:rsid w:val="161E4D6F"/>
    <w:rsid w:val="173A18EA"/>
    <w:rsid w:val="19A56C0A"/>
    <w:rsid w:val="1A4D4CFC"/>
    <w:rsid w:val="1ACE411E"/>
    <w:rsid w:val="1C2829DE"/>
    <w:rsid w:val="1CAE190E"/>
    <w:rsid w:val="1E6550D8"/>
    <w:rsid w:val="1EE41101"/>
    <w:rsid w:val="20461503"/>
    <w:rsid w:val="205C0EC2"/>
    <w:rsid w:val="20AB6722"/>
    <w:rsid w:val="2255094C"/>
    <w:rsid w:val="238A66F0"/>
    <w:rsid w:val="2504647A"/>
    <w:rsid w:val="26DD380F"/>
    <w:rsid w:val="27CB40EB"/>
    <w:rsid w:val="28BB3AF3"/>
    <w:rsid w:val="28EE5FB3"/>
    <w:rsid w:val="293606CF"/>
    <w:rsid w:val="29A3491E"/>
    <w:rsid w:val="2BD8152F"/>
    <w:rsid w:val="2CFA75B6"/>
    <w:rsid w:val="2E0406A2"/>
    <w:rsid w:val="2E104079"/>
    <w:rsid w:val="30E95FE9"/>
    <w:rsid w:val="31634A54"/>
    <w:rsid w:val="320373B9"/>
    <w:rsid w:val="32504DAF"/>
    <w:rsid w:val="33294488"/>
    <w:rsid w:val="33C81613"/>
    <w:rsid w:val="36844496"/>
    <w:rsid w:val="374D6E40"/>
    <w:rsid w:val="37CB172E"/>
    <w:rsid w:val="38C20726"/>
    <w:rsid w:val="3A1F1C07"/>
    <w:rsid w:val="3A5570C7"/>
    <w:rsid w:val="3A611C6B"/>
    <w:rsid w:val="3BDD79C3"/>
    <w:rsid w:val="3D913D60"/>
    <w:rsid w:val="3E3E2731"/>
    <w:rsid w:val="3EF03B3F"/>
    <w:rsid w:val="3F6A2CED"/>
    <w:rsid w:val="407F35FC"/>
    <w:rsid w:val="418B3692"/>
    <w:rsid w:val="41BD00F3"/>
    <w:rsid w:val="43530C5B"/>
    <w:rsid w:val="43546A65"/>
    <w:rsid w:val="4605082E"/>
    <w:rsid w:val="46486AC2"/>
    <w:rsid w:val="47140150"/>
    <w:rsid w:val="47BB5FCB"/>
    <w:rsid w:val="484B577E"/>
    <w:rsid w:val="4A351BCB"/>
    <w:rsid w:val="4A382F4E"/>
    <w:rsid w:val="4B0B2BBE"/>
    <w:rsid w:val="4B2129AE"/>
    <w:rsid w:val="4C7A2288"/>
    <w:rsid w:val="4C985505"/>
    <w:rsid w:val="4E2B70B1"/>
    <w:rsid w:val="4FD6379A"/>
    <w:rsid w:val="523A0CD8"/>
    <w:rsid w:val="54D508C5"/>
    <w:rsid w:val="582A4BB3"/>
    <w:rsid w:val="5846631B"/>
    <w:rsid w:val="585613D6"/>
    <w:rsid w:val="58CB1386"/>
    <w:rsid w:val="590A1283"/>
    <w:rsid w:val="599966CD"/>
    <w:rsid w:val="5AD76D04"/>
    <w:rsid w:val="5CCC4A94"/>
    <w:rsid w:val="5D3844EE"/>
    <w:rsid w:val="5DA46ED0"/>
    <w:rsid w:val="5DED0026"/>
    <w:rsid w:val="60E125F9"/>
    <w:rsid w:val="62E57D9E"/>
    <w:rsid w:val="643213FB"/>
    <w:rsid w:val="65F26732"/>
    <w:rsid w:val="66660BAB"/>
    <w:rsid w:val="676271CF"/>
    <w:rsid w:val="67B72408"/>
    <w:rsid w:val="67F2363D"/>
    <w:rsid w:val="695A39F7"/>
    <w:rsid w:val="69694D2E"/>
    <w:rsid w:val="696E4211"/>
    <w:rsid w:val="6A212F10"/>
    <w:rsid w:val="6B0307F7"/>
    <w:rsid w:val="6B2F0001"/>
    <w:rsid w:val="6B6A5699"/>
    <w:rsid w:val="6C034580"/>
    <w:rsid w:val="6CC73838"/>
    <w:rsid w:val="6CFB4829"/>
    <w:rsid w:val="6FC0654C"/>
    <w:rsid w:val="6FCA701E"/>
    <w:rsid w:val="70805A23"/>
    <w:rsid w:val="711B11D0"/>
    <w:rsid w:val="71610EA9"/>
    <w:rsid w:val="717707B7"/>
    <w:rsid w:val="72220625"/>
    <w:rsid w:val="72294EFE"/>
    <w:rsid w:val="7344120A"/>
    <w:rsid w:val="73E81D25"/>
    <w:rsid w:val="74B8110D"/>
    <w:rsid w:val="74FB25D4"/>
    <w:rsid w:val="77B06523"/>
    <w:rsid w:val="786C4D10"/>
    <w:rsid w:val="796B3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46"/>
    <w:qFormat/>
    <w:uiPriority w:val="0"/>
    <w:pPr>
      <w:keepNext/>
      <w:keepLines/>
      <w:spacing w:before="320" w:after="320"/>
      <w:ind w:firstLine="0" w:firstLineChars="0"/>
      <w:jc w:val="center"/>
      <w:outlineLvl w:val="0"/>
    </w:pPr>
    <w:rPr>
      <w:b/>
      <w:bCs/>
      <w:kern w:val="44"/>
      <w:sz w:val="36"/>
      <w:szCs w:val="44"/>
    </w:rPr>
  </w:style>
  <w:style w:type="paragraph" w:styleId="4">
    <w:name w:val="heading 2"/>
    <w:basedOn w:val="1"/>
    <w:next w:val="1"/>
    <w:link w:val="47"/>
    <w:qFormat/>
    <w:uiPriority w:val="0"/>
    <w:pPr>
      <w:keepNext/>
      <w:keepLines/>
      <w:spacing w:before="240" w:after="240"/>
      <w:ind w:firstLine="0" w:firstLineChars="0"/>
      <w:outlineLvl w:val="1"/>
    </w:pPr>
    <w:rPr>
      <w:b/>
      <w:bCs/>
      <w:kern w:val="0"/>
      <w:sz w:val="32"/>
      <w:szCs w:val="32"/>
    </w:rPr>
  </w:style>
  <w:style w:type="paragraph" w:styleId="5">
    <w:name w:val="heading 3"/>
    <w:basedOn w:val="1"/>
    <w:next w:val="1"/>
    <w:link w:val="48"/>
    <w:qFormat/>
    <w:uiPriority w:val="0"/>
    <w:pPr>
      <w:keepNext/>
      <w:keepLines/>
      <w:spacing w:before="200" w:after="200"/>
      <w:ind w:firstLine="0" w:firstLineChars="0"/>
      <w:outlineLvl w:val="2"/>
    </w:pPr>
    <w:rPr>
      <w:b/>
      <w:bCs/>
      <w:kern w:val="0"/>
      <w:sz w:val="30"/>
      <w:szCs w:val="32"/>
    </w:rPr>
  </w:style>
  <w:style w:type="paragraph" w:styleId="6">
    <w:name w:val="heading 4"/>
    <w:basedOn w:val="1"/>
    <w:next w:val="1"/>
    <w:link w:val="49"/>
    <w:qFormat/>
    <w:uiPriority w:val="0"/>
    <w:pPr>
      <w:keepNext/>
      <w:keepLines/>
      <w:spacing w:before="280" w:after="290" w:line="377" w:lineRule="auto"/>
      <w:ind w:firstLine="0" w:firstLineChars="0"/>
      <w:outlineLvl w:val="3"/>
    </w:pPr>
    <w:rPr>
      <w:rFonts w:ascii="Calibri Light" w:hAnsi="Calibri Light"/>
      <w:b/>
      <w:bCs/>
      <w:szCs w:val="28"/>
    </w:rPr>
  </w:style>
  <w:style w:type="paragraph" w:styleId="7">
    <w:name w:val="heading 5"/>
    <w:basedOn w:val="1"/>
    <w:next w:val="1"/>
    <w:link w:val="50"/>
    <w:qFormat/>
    <w:uiPriority w:val="9"/>
    <w:pPr>
      <w:keepNext/>
      <w:keepLines/>
      <w:jc w:val="center"/>
      <w:outlineLvl w:val="4"/>
    </w:pPr>
    <w:rPr>
      <w:b/>
      <w:bCs/>
      <w:sz w:val="24"/>
      <w:szCs w:val="28"/>
    </w:rPr>
  </w:style>
  <w:style w:type="paragraph" w:styleId="8">
    <w:name w:val="heading 6"/>
    <w:basedOn w:val="1"/>
    <w:next w:val="1"/>
    <w:link w:val="51"/>
    <w:qFormat/>
    <w:uiPriority w:val="9"/>
    <w:pPr>
      <w:keepNext/>
      <w:keepLines/>
      <w:spacing w:before="240" w:after="64" w:line="320" w:lineRule="auto"/>
      <w:outlineLvl w:val="5"/>
    </w:pPr>
    <w:rPr>
      <w:rFonts w:ascii="Cambria" w:hAnsi="Cambria"/>
      <w:b/>
      <w:bCs/>
      <w:sz w:val="24"/>
      <w:szCs w:val="24"/>
    </w:rPr>
  </w:style>
  <w:style w:type="character" w:default="1" w:styleId="39">
    <w:name w:val="Default Paragraph Font"/>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Title"/>
    <w:basedOn w:val="1"/>
    <w:qFormat/>
    <w:uiPriority w:val="0"/>
    <w:pPr>
      <w:jc w:val="center"/>
      <w:outlineLvl w:val="0"/>
    </w:pPr>
    <w:rPr>
      <w:rFonts w:ascii="?????_GBK" w:hAnsi="?????_GBK" w:eastAsia="Times New Roman" w:cs="?????_GBK"/>
      <w:sz w:val="44"/>
      <w:szCs w:val="44"/>
    </w:rPr>
  </w:style>
  <w:style w:type="paragraph" w:styleId="9">
    <w:name w:val="toc 7"/>
    <w:basedOn w:val="1"/>
    <w:next w:val="1"/>
    <w:qFormat/>
    <w:uiPriority w:val="39"/>
    <w:pPr>
      <w:spacing w:line="240" w:lineRule="auto"/>
      <w:ind w:left="2520" w:leftChars="1200" w:firstLine="0" w:firstLineChars="0"/>
    </w:pPr>
    <w:rPr>
      <w:rFonts w:ascii="Calibri" w:hAnsi="Calibri"/>
      <w:sz w:val="21"/>
      <w:szCs w:val="22"/>
    </w:rPr>
  </w:style>
  <w:style w:type="paragraph" w:styleId="10">
    <w:name w:val="Normal Indent"/>
    <w:basedOn w:val="1"/>
    <w:qFormat/>
    <w:uiPriority w:val="0"/>
    <w:pPr>
      <w:ind w:firstLine="420"/>
    </w:pPr>
  </w:style>
  <w:style w:type="paragraph" w:styleId="11">
    <w:name w:val="caption"/>
    <w:basedOn w:val="1"/>
    <w:next w:val="1"/>
    <w:qFormat/>
    <w:uiPriority w:val="35"/>
    <w:pPr>
      <w:jc w:val="center"/>
    </w:pPr>
    <w:rPr>
      <w:b/>
    </w:rPr>
  </w:style>
  <w:style w:type="paragraph" w:styleId="12">
    <w:name w:val="Document Map"/>
    <w:basedOn w:val="1"/>
    <w:link w:val="56"/>
    <w:qFormat/>
    <w:uiPriority w:val="0"/>
    <w:rPr>
      <w:rFonts w:ascii="宋体"/>
      <w:kern w:val="0"/>
      <w:sz w:val="18"/>
      <w:szCs w:val="18"/>
    </w:rPr>
  </w:style>
  <w:style w:type="paragraph" w:styleId="13">
    <w:name w:val="annotation text"/>
    <w:basedOn w:val="1"/>
    <w:link w:val="57"/>
    <w:qFormat/>
    <w:uiPriority w:val="0"/>
    <w:pPr>
      <w:jc w:val="left"/>
    </w:pPr>
    <w:rPr>
      <w:kern w:val="0"/>
      <w:sz w:val="20"/>
    </w:rPr>
  </w:style>
  <w:style w:type="paragraph" w:styleId="14">
    <w:name w:val="Body Text 3"/>
    <w:basedOn w:val="1"/>
    <w:link w:val="133"/>
    <w:qFormat/>
    <w:uiPriority w:val="0"/>
    <w:pPr>
      <w:spacing w:after="120"/>
    </w:pPr>
    <w:rPr>
      <w:sz w:val="16"/>
    </w:rPr>
  </w:style>
  <w:style w:type="paragraph" w:styleId="15">
    <w:name w:val="Closing"/>
    <w:basedOn w:val="1"/>
    <w:link w:val="141"/>
    <w:qFormat/>
    <w:uiPriority w:val="0"/>
    <w:pPr>
      <w:ind w:left="100" w:leftChars="2100"/>
    </w:pPr>
    <w:rPr>
      <w:sz w:val="24"/>
    </w:rPr>
  </w:style>
  <w:style w:type="paragraph" w:styleId="16">
    <w:name w:val="Body Text"/>
    <w:basedOn w:val="1"/>
    <w:link w:val="63"/>
    <w:qFormat/>
    <w:uiPriority w:val="0"/>
    <w:pPr>
      <w:ind w:firstLine="425"/>
    </w:pPr>
    <w:rPr>
      <w:spacing w:val="4"/>
      <w:sz w:val="24"/>
    </w:rPr>
  </w:style>
  <w:style w:type="paragraph" w:styleId="17">
    <w:name w:val="Body Text Indent"/>
    <w:basedOn w:val="1"/>
    <w:link w:val="64"/>
    <w:qFormat/>
    <w:uiPriority w:val="0"/>
    <w:pPr>
      <w:ind w:firstLine="538" w:firstLineChars="192"/>
    </w:pPr>
    <w:rPr>
      <w:szCs w:val="24"/>
    </w:rPr>
  </w:style>
  <w:style w:type="paragraph" w:styleId="18">
    <w:name w:val="toc 5"/>
    <w:basedOn w:val="1"/>
    <w:next w:val="1"/>
    <w:qFormat/>
    <w:uiPriority w:val="39"/>
    <w:pPr>
      <w:spacing w:line="240" w:lineRule="auto"/>
      <w:ind w:left="1680" w:leftChars="800" w:firstLine="0" w:firstLineChars="0"/>
    </w:pPr>
    <w:rPr>
      <w:rFonts w:ascii="Calibri" w:hAnsi="Calibri"/>
      <w:sz w:val="21"/>
      <w:szCs w:val="22"/>
    </w:rPr>
  </w:style>
  <w:style w:type="paragraph" w:styleId="19">
    <w:name w:val="toc 3"/>
    <w:basedOn w:val="1"/>
    <w:next w:val="1"/>
    <w:qFormat/>
    <w:uiPriority w:val="39"/>
    <w:pPr>
      <w:ind w:left="840" w:leftChars="400"/>
    </w:pPr>
  </w:style>
  <w:style w:type="paragraph" w:styleId="20">
    <w:name w:val="Plain Text"/>
    <w:basedOn w:val="1"/>
    <w:link w:val="142"/>
    <w:qFormat/>
    <w:uiPriority w:val="0"/>
    <w:rPr>
      <w:rFonts w:ascii="宋体" w:hAnsi="Courier New"/>
    </w:rPr>
  </w:style>
  <w:style w:type="paragraph" w:styleId="21">
    <w:name w:val="toc 8"/>
    <w:basedOn w:val="1"/>
    <w:next w:val="1"/>
    <w:qFormat/>
    <w:uiPriority w:val="39"/>
    <w:pPr>
      <w:spacing w:line="240" w:lineRule="auto"/>
      <w:ind w:left="2940" w:leftChars="1400" w:firstLine="0" w:firstLineChars="0"/>
    </w:pPr>
    <w:rPr>
      <w:rFonts w:ascii="Calibri" w:hAnsi="Calibri"/>
      <w:sz w:val="21"/>
      <w:szCs w:val="22"/>
    </w:rPr>
  </w:style>
  <w:style w:type="paragraph" w:styleId="22">
    <w:name w:val="Date"/>
    <w:basedOn w:val="1"/>
    <w:next w:val="1"/>
    <w:link w:val="54"/>
    <w:qFormat/>
    <w:uiPriority w:val="0"/>
    <w:pPr>
      <w:ind w:left="100" w:leftChars="2500"/>
    </w:pPr>
    <w:rPr>
      <w:kern w:val="0"/>
      <w:sz w:val="20"/>
    </w:rPr>
  </w:style>
  <w:style w:type="paragraph" w:styleId="23">
    <w:name w:val="Body Text Indent 2"/>
    <w:basedOn w:val="1"/>
    <w:link w:val="62"/>
    <w:qFormat/>
    <w:uiPriority w:val="0"/>
    <w:pPr>
      <w:ind w:left="425"/>
    </w:pPr>
    <w:rPr>
      <w:sz w:val="24"/>
    </w:rPr>
  </w:style>
  <w:style w:type="paragraph" w:styleId="24">
    <w:name w:val="Balloon Text"/>
    <w:basedOn w:val="1"/>
    <w:link w:val="55"/>
    <w:qFormat/>
    <w:uiPriority w:val="0"/>
    <w:rPr>
      <w:kern w:val="0"/>
      <w:sz w:val="18"/>
      <w:szCs w:val="18"/>
    </w:rPr>
  </w:style>
  <w:style w:type="paragraph" w:styleId="25">
    <w:name w:val="footer"/>
    <w:basedOn w:val="1"/>
    <w:link w:val="45"/>
    <w:qFormat/>
    <w:uiPriority w:val="99"/>
    <w:pPr>
      <w:tabs>
        <w:tab w:val="center" w:pos="4153"/>
        <w:tab w:val="right" w:pos="8306"/>
      </w:tabs>
      <w:snapToGrid w:val="0"/>
      <w:jc w:val="left"/>
    </w:pPr>
    <w:rPr>
      <w:sz w:val="18"/>
      <w:szCs w:val="18"/>
    </w:rPr>
  </w:style>
  <w:style w:type="paragraph" w:styleId="2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qFormat/>
    <w:uiPriority w:val="39"/>
    <w:pPr>
      <w:spacing w:line="240" w:lineRule="auto"/>
      <w:ind w:left="1260" w:leftChars="600" w:firstLine="0" w:firstLineChars="0"/>
    </w:pPr>
    <w:rPr>
      <w:rFonts w:ascii="Calibri" w:hAnsi="Calibri"/>
      <w:sz w:val="21"/>
      <w:szCs w:val="22"/>
    </w:rPr>
  </w:style>
  <w:style w:type="paragraph" w:styleId="29">
    <w:name w:val="footnote text"/>
    <w:basedOn w:val="1"/>
    <w:link w:val="144"/>
    <w:qFormat/>
    <w:uiPriority w:val="0"/>
    <w:pPr>
      <w:snapToGrid w:val="0"/>
      <w:jc w:val="left"/>
    </w:pPr>
    <w:rPr>
      <w:rFonts w:ascii="Calibri" w:hAnsi="Calibri" w:cs="宋体"/>
      <w:sz w:val="18"/>
      <w:szCs w:val="22"/>
    </w:rPr>
  </w:style>
  <w:style w:type="paragraph" w:styleId="30">
    <w:name w:val="toc 6"/>
    <w:basedOn w:val="1"/>
    <w:next w:val="1"/>
    <w:qFormat/>
    <w:uiPriority w:val="39"/>
    <w:pPr>
      <w:spacing w:line="240" w:lineRule="auto"/>
      <w:ind w:left="2100" w:leftChars="1000" w:firstLine="0" w:firstLineChars="0"/>
    </w:pPr>
    <w:rPr>
      <w:rFonts w:ascii="Calibri" w:hAnsi="Calibri"/>
      <w:sz w:val="21"/>
      <w:szCs w:val="22"/>
    </w:rPr>
  </w:style>
  <w:style w:type="paragraph" w:styleId="31">
    <w:name w:val="Body Text Indent 3"/>
    <w:basedOn w:val="1"/>
    <w:link w:val="65"/>
    <w:qFormat/>
    <w:uiPriority w:val="0"/>
    <w:pPr>
      <w:ind w:firstLine="612"/>
    </w:pPr>
    <w:rPr>
      <w:rFonts w:ascii="楷体" w:eastAsia="楷体"/>
      <w:bCs/>
      <w:szCs w:val="24"/>
    </w:rPr>
  </w:style>
  <w:style w:type="paragraph" w:styleId="32">
    <w:name w:val="toc 2"/>
    <w:basedOn w:val="1"/>
    <w:next w:val="1"/>
    <w:qFormat/>
    <w:uiPriority w:val="39"/>
    <w:pPr>
      <w:ind w:left="420" w:leftChars="200"/>
    </w:pPr>
  </w:style>
  <w:style w:type="paragraph" w:styleId="33">
    <w:name w:val="toc 9"/>
    <w:basedOn w:val="1"/>
    <w:next w:val="1"/>
    <w:qFormat/>
    <w:uiPriority w:val="39"/>
    <w:pPr>
      <w:spacing w:line="240" w:lineRule="auto"/>
      <w:ind w:left="3360" w:leftChars="1600" w:firstLine="0" w:firstLineChars="0"/>
    </w:pPr>
    <w:rPr>
      <w:rFonts w:ascii="Calibri" w:hAnsi="Calibri"/>
      <w:sz w:val="21"/>
      <w:szCs w:val="22"/>
    </w:rPr>
  </w:style>
  <w:style w:type="paragraph" w:styleId="34">
    <w:name w:val="Body Text 2"/>
    <w:basedOn w:val="1"/>
    <w:link w:val="119"/>
    <w:qFormat/>
    <w:uiPriority w:val="0"/>
    <w:pPr>
      <w:spacing w:line="300" w:lineRule="auto"/>
    </w:pPr>
    <w:rPr>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3"/>
    <w:next w:val="13"/>
    <w:link w:val="58"/>
    <w:qFormat/>
    <w:uiPriority w:val="0"/>
    <w:rPr>
      <w:b/>
      <w:bCs/>
    </w:rPr>
  </w:style>
  <w:style w:type="table" w:styleId="38">
    <w:name w:val="Table Grid"/>
    <w:basedOn w:val="37"/>
    <w:qFormat/>
    <w:uiPriority w:val="0"/>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page number"/>
    <w:qFormat/>
    <w:uiPriority w:val="0"/>
    <w:rPr>
      <w:rFonts w:cs="Times New Roman"/>
    </w:rPr>
  </w:style>
  <w:style w:type="character" w:styleId="41">
    <w:name w:val="FollowedHyperlink"/>
    <w:qFormat/>
    <w:uiPriority w:val="0"/>
    <w:rPr>
      <w:color w:val="800080"/>
      <w:u w:val="single"/>
    </w:rPr>
  </w:style>
  <w:style w:type="character" w:styleId="42">
    <w:name w:val="Hyperlink"/>
    <w:qFormat/>
    <w:uiPriority w:val="99"/>
    <w:rPr>
      <w:color w:val="0563C1"/>
      <w:u w:val="single"/>
    </w:rPr>
  </w:style>
  <w:style w:type="character" w:styleId="43">
    <w:name w:val="annotation reference"/>
    <w:qFormat/>
    <w:uiPriority w:val="0"/>
    <w:rPr>
      <w:sz w:val="21"/>
      <w:szCs w:val="21"/>
    </w:rPr>
  </w:style>
  <w:style w:type="character" w:customStyle="1" w:styleId="44">
    <w:name w:val="页眉 Char"/>
    <w:basedOn w:val="39"/>
    <w:link w:val="26"/>
    <w:qFormat/>
    <w:uiPriority w:val="99"/>
    <w:rPr>
      <w:sz w:val="18"/>
      <w:szCs w:val="18"/>
    </w:rPr>
  </w:style>
  <w:style w:type="character" w:customStyle="1" w:styleId="45">
    <w:name w:val="页脚 Char"/>
    <w:basedOn w:val="39"/>
    <w:link w:val="25"/>
    <w:qFormat/>
    <w:uiPriority w:val="99"/>
    <w:rPr>
      <w:sz w:val="18"/>
      <w:szCs w:val="18"/>
    </w:rPr>
  </w:style>
  <w:style w:type="character" w:customStyle="1" w:styleId="46">
    <w:name w:val="标题 1 Char"/>
    <w:basedOn w:val="39"/>
    <w:link w:val="3"/>
    <w:qFormat/>
    <w:uiPriority w:val="0"/>
    <w:rPr>
      <w:rFonts w:ascii="Times New Roman" w:hAnsi="Times New Roman" w:eastAsia="宋体" w:cs="Times New Roman"/>
      <w:b/>
      <w:bCs/>
      <w:kern w:val="44"/>
      <w:sz w:val="36"/>
      <w:szCs w:val="44"/>
    </w:rPr>
  </w:style>
  <w:style w:type="character" w:customStyle="1" w:styleId="47">
    <w:name w:val="标题 2 Char"/>
    <w:basedOn w:val="39"/>
    <w:link w:val="4"/>
    <w:qFormat/>
    <w:uiPriority w:val="0"/>
    <w:rPr>
      <w:rFonts w:ascii="Times New Roman" w:hAnsi="Times New Roman" w:eastAsia="宋体" w:cs="Times New Roman"/>
      <w:b/>
      <w:bCs/>
      <w:kern w:val="0"/>
      <w:sz w:val="32"/>
      <w:szCs w:val="32"/>
    </w:rPr>
  </w:style>
  <w:style w:type="character" w:customStyle="1" w:styleId="48">
    <w:name w:val="标题 3 Char"/>
    <w:basedOn w:val="39"/>
    <w:link w:val="5"/>
    <w:qFormat/>
    <w:uiPriority w:val="0"/>
    <w:rPr>
      <w:rFonts w:ascii="Times New Roman" w:hAnsi="Times New Roman" w:eastAsia="宋体" w:cs="Times New Roman"/>
      <w:b/>
      <w:bCs/>
      <w:kern w:val="0"/>
      <w:sz w:val="30"/>
      <w:szCs w:val="32"/>
    </w:rPr>
  </w:style>
  <w:style w:type="character" w:customStyle="1" w:styleId="49">
    <w:name w:val="标题 4 Char"/>
    <w:basedOn w:val="39"/>
    <w:link w:val="6"/>
    <w:qFormat/>
    <w:uiPriority w:val="0"/>
    <w:rPr>
      <w:rFonts w:ascii="Calibri Light" w:hAnsi="Calibri Light" w:eastAsia="宋体" w:cs="Times New Roman"/>
      <w:b/>
      <w:bCs/>
      <w:sz w:val="28"/>
      <w:szCs w:val="28"/>
    </w:rPr>
  </w:style>
  <w:style w:type="character" w:customStyle="1" w:styleId="50">
    <w:name w:val="标题 5 Char"/>
    <w:basedOn w:val="39"/>
    <w:link w:val="7"/>
    <w:qFormat/>
    <w:uiPriority w:val="9"/>
    <w:rPr>
      <w:rFonts w:ascii="Times New Roman" w:hAnsi="Times New Roman" w:eastAsia="宋体" w:cs="Times New Roman"/>
      <w:b/>
      <w:bCs/>
      <w:sz w:val="24"/>
      <w:szCs w:val="28"/>
    </w:rPr>
  </w:style>
  <w:style w:type="character" w:customStyle="1" w:styleId="51">
    <w:name w:val="标题 6 Char"/>
    <w:basedOn w:val="39"/>
    <w:link w:val="8"/>
    <w:qFormat/>
    <w:uiPriority w:val="9"/>
    <w:rPr>
      <w:rFonts w:ascii="Cambria" w:hAnsi="Cambria" w:eastAsia="宋体" w:cs="Times New Roman"/>
      <w:b/>
      <w:bCs/>
      <w:sz w:val="24"/>
      <w:szCs w:val="24"/>
    </w:rPr>
  </w:style>
  <w:style w:type="paragraph" w:customStyle="1" w:styleId="52">
    <w:name w:val="Char"/>
    <w:basedOn w:val="1"/>
    <w:qFormat/>
    <w:uiPriority w:val="0"/>
    <w:pPr>
      <w:widowControl/>
      <w:spacing w:after="160" w:line="240" w:lineRule="exact"/>
      <w:jc w:val="left"/>
    </w:pPr>
  </w:style>
  <w:style w:type="paragraph" w:customStyle="1" w:styleId="53">
    <w:name w:val="Char1"/>
    <w:basedOn w:val="1"/>
    <w:qFormat/>
    <w:uiPriority w:val="0"/>
    <w:pPr>
      <w:widowControl/>
      <w:spacing w:after="160" w:line="240" w:lineRule="exact"/>
      <w:jc w:val="left"/>
    </w:pPr>
  </w:style>
  <w:style w:type="character" w:customStyle="1" w:styleId="54">
    <w:name w:val="日期 Char"/>
    <w:basedOn w:val="39"/>
    <w:link w:val="22"/>
    <w:qFormat/>
    <w:uiPriority w:val="0"/>
    <w:rPr>
      <w:rFonts w:ascii="Times New Roman" w:hAnsi="Times New Roman" w:eastAsia="宋体" w:cs="Times New Roman"/>
      <w:kern w:val="0"/>
      <w:sz w:val="20"/>
      <w:szCs w:val="20"/>
    </w:rPr>
  </w:style>
  <w:style w:type="character" w:customStyle="1" w:styleId="55">
    <w:name w:val="批注框文本 Char"/>
    <w:basedOn w:val="39"/>
    <w:link w:val="24"/>
    <w:qFormat/>
    <w:uiPriority w:val="0"/>
    <w:rPr>
      <w:rFonts w:ascii="Times New Roman" w:hAnsi="Times New Roman" w:eastAsia="宋体" w:cs="Times New Roman"/>
      <w:kern w:val="0"/>
      <w:sz w:val="18"/>
      <w:szCs w:val="18"/>
    </w:rPr>
  </w:style>
  <w:style w:type="character" w:customStyle="1" w:styleId="56">
    <w:name w:val="文档结构图 Char"/>
    <w:basedOn w:val="39"/>
    <w:link w:val="12"/>
    <w:qFormat/>
    <w:uiPriority w:val="0"/>
    <w:rPr>
      <w:rFonts w:ascii="宋体" w:hAnsi="Times New Roman" w:eastAsia="宋体" w:cs="Times New Roman"/>
      <w:kern w:val="0"/>
      <w:sz w:val="18"/>
      <w:szCs w:val="18"/>
    </w:rPr>
  </w:style>
  <w:style w:type="character" w:customStyle="1" w:styleId="57">
    <w:name w:val="批注文字 Char"/>
    <w:basedOn w:val="39"/>
    <w:link w:val="13"/>
    <w:qFormat/>
    <w:uiPriority w:val="0"/>
    <w:rPr>
      <w:rFonts w:ascii="Times New Roman" w:hAnsi="Times New Roman" w:eastAsia="宋体" w:cs="Times New Roman"/>
      <w:kern w:val="0"/>
      <w:sz w:val="20"/>
      <w:szCs w:val="20"/>
    </w:rPr>
  </w:style>
  <w:style w:type="character" w:customStyle="1" w:styleId="58">
    <w:name w:val="批注主题 Char"/>
    <w:basedOn w:val="57"/>
    <w:link w:val="36"/>
    <w:qFormat/>
    <w:uiPriority w:val="0"/>
    <w:rPr>
      <w:rFonts w:ascii="Times New Roman" w:hAnsi="Times New Roman" w:eastAsia="宋体" w:cs="Times New Roman"/>
      <w:b/>
      <w:bCs/>
      <w:kern w:val="0"/>
      <w:sz w:val="20"/>
      <w:szCs w:val="20"/>
    </w:rPr>
  </w:style>
  <w:style w:type="paragraph" w:customStyle="1" w:styleId="59">
    <w:name w:val="Revision"/>
    <w:qFormat/>
    <w:uiPriority w:val="99"/>
    <w:rPr>
      <w:rFonts w:ascii="Times New Roman" w:hAnsi="Times New Roman" w:eastAsia="宋体" w:cs="Times New Roman"/>
      <w:kern w:val="2"/>
      <w:sz w:val="21"/>
      <w:szCs w:val="20"/>
      <w:lang w:val="en-US" w:eastAsia="zh-CN" w:bidi="ar-SA"/>
    </w:rPr>
  </w:style>
  <w:style w:type="character" w:customStyle="1" w:styleId="60">
    <w:name w:val="标题 4 字符"/>
    <w:qFormat/>
    <w:uiPriority w:val="9"/>
    <w:rPr>
      <w:rFonts w:ascii="等线 Light" w:hAnsi="等线 Light" w:eastAsia="等线 Light" w:cs="Times New Roman"/>
      <w:b/>
      <w:bCs/>
      <w:kern w:val="2"/>
      <w:sz w:val="28"/>
      <w:szCs w:val="28"/>
    </w:rPr>
  </w:style>
  <w:style w:type="paragraph" w:customStyle="1" w:styleId="61">
    <w:name w:val="报告格式—正文"/>
    <w:basedOn w:val="1"/>
    <w:qFormat/>
    <w:uiPriority w:val="0"/>
    <w:pPr>
      <w:spacing w:line="580" w:lineRule="exact"/>
      <w:ind w:firstLine="584"/>
    </w:pPr>
    <w:rPr>
      <w:spacing w:val="6"/>
      <w:szCs w:val="36"/>
    </w:rPr>
  </w:style>
  <w:style w:type="character" w:customStyle="1" w:styleId="62">
    <w:name w:val="正文文本缩进 2 Char"/>
    <w:basedOn w:val="39"/>
    <w:link w:val="23"/>
    <w:qFormat/>
    <w:uiPriority w:val="0"/>
    <w:rPr>
      <w:rFonts w:ascii="Times New Roman" w:hAnsi="Times New Roman" w:eastAsia="宋体" w:cs="Times New Roman"/>
      <w:sz w:val="24"/>
      <w:szCs w:val="20"/>
    </w:rPr>
  </w:style>
  <w:style w:type="character" w:customStyle="1" w:styleId="63">
    <w:name w:val="正文文本 Char"/>
    <w:basedOn w:val="39"/>
    <w:link w:val="16"/>
    <w:qFormat/>
    <w:uiPriority w:val="0"/>
    <w:rPr>
      <w:rFonts w:ascii="Times New Roman" w:hAnsi="Times New Roman" w:eastAsia="宋体" w:cs="Times New Roman"/>
      <w:spacing w:val="4"/>
      <w:sz w:val="24"/>
      <w:szCs w:val="20"/>
    </w:rPr>
  </w:style>
  <w:style w:type="character" w:customStyle="1" w:styleId="64">
    <w:name w:val="正文文本缩进 Char"/>
    <w:basedOn w:val="39"/>
    <w:link w:val="17"/>
    <w:qFormat/>
    <w:uiPriority w:val="0"/>
    <w:rPr>
      <w:rFonts w:ascii="Times New Roman" w:hAnsi="Times New Roman" w:eastAsia="宋体" w:cs="Times New Roman"/>
      <w:sz w:val="28"/>
      <w:szCs w:val="24"/>
    </w:rPr>
  </w:style>
  <w:style w:type="character" w:customStyle="1" w:styleId="65">
    <w:name w:val="正文文本缩进 3 Char"/>
    <w:basedOn w:val="39"/>
    <w:link w:val="31"/>
    <w:qFormat/>
    <w:uiPriority w:val="0"/>
    <w:rPr>
      <w:rFonts w:ascii="楷体" w:hAnsi="Times New Roman" w:eastAsia="楷体" w:cs="Times New Roman"/>
      <w:bCs/>
      <w:sz w:val="28"/>
      <w:szCs w:val="24"/>
    </w:rPr>
  </w:style>
  <w:style w:type="character" w:customStyle="1" w:styleId="66">
    <w:name w:val="h141"/>
    <w:qFormat/>
    <w:uiPriority w:val="0"/>
    <w:rPr>
      <w:spacing w:val="440"/>
      <w:sz w:val="28"/>
    </w:rPr>
  </w:style>
  <w:style w:type="paragraph" w:customStyle="1" w:styleId="67">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68">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69">
    <w:name w:val="xl24"/>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1">
    <w:name w:val="xl26"/>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2">
    <w:name w:val="xl27"/>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3">
    <w:name w:val="xl2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4">
    <w:name w:val="xl29"/>
    <w:basedOn w:val="1"/>
    <w:qFormat/>
    <w:uiPriority w:val="0"/>
    <w:pPr>
      <w:widowControl/>
      <w:pBdr>
        <w:top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5">
    <w:name w:val="xl3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76">
    <w:name w:val="xl31"/>
    <w:basedOn w:val="1"/>
    <w:qFormat/>
    <w:uiPriority w:val="0"/>
    <w:pPr>
      <w:widowControl/>
      <w:pBdr>
        <w:top w:val="single" w:color="auto" w:sz="8" w:space="0"/>
        <w:left w:val="single" w:color="auto" w:sz="4"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77">
    <w:name w:val="xl32"/>
    <w:basedOn w:val="1"/>
    <w:qFormat/>
    <w:uiPriority w:val="0"/>
    <w:pPr>
      <w:widowControl/>
      <w:pBdr>
        <w:left w:val="single" w:color="auto" w:sz="4"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78">
    <w:name w:val="xl33"/>
    <w:basedOn w:val="1"/>
    <w:qFormat/>
    <w:uiPriority w:val="0"/>
    <w:pPr>
      <w:widowControl/>
      <w:pBdr>
        <w:left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9">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0">
    <w:name w:val="xl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1">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82">
    <w:name w:val="xl37"/>
    <w:basedOn w:val="1"/>
    <w:qFormat/>
    <w:uiPriority w:val="0"/>
    <w:pPr>
      <w:widowControl/>
      <w:pBdr>
        <w:top w:val="single" w:color="auto" w:sz="8"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83">
    <w:name w:val="xl3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5">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7">
    <w:name w:val="xl4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9">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color w:val="FF0000"/>
      <w:kern w:val="0"/>
      <w:sz w:val="18"/>
      <w:szCs w:val="18"/>
    </w:rPr>
  </w:style>
  <w:style w:type="paragraph" w:customStyle="1" w:styleId="9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9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5">
    <w:name w:val="xl50"/>
    <w:basedOn w:val="1"/>
    <w:qFormat/>
    <w:uiPriority w:val="0"/>
    <w:pPr>
      <w:widowControl/>
      <w:pBdr>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6">
    <w:name w:val="xl5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8">
    <w:name w:val="xl5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9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100">
    <w:name w:val="xl5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101">
    <w:name w:val="xl5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102">
    <w:name w:val="xl57"/>
    <w:basedOn w:val="1"/>
    <w:qFormat/>
    <w:uiPriority w:val="0"/>
    <w:pPr>
      <w:widowControl/>
      <w:pBdr>
        <w:top w:val="single" w:color="auto" w:sz="8"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103">
    <w:name w:val="xl58"/>
    <w:basedOn w:val="1"/>
    <w:qFormat/>
    <w:uiPriority w:val="0"/>
    <w:pPr>
      <w:widowControl/>
      <w:pBdr>
        <w:top w:val="single" w:color="auto" w:sz="8"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104">
    <w:name w:val="xl59"/>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05">
    <w:name w:val="xl60"/>
    <w:basedOn w:val="1"/>
    <w:qFormat/>
    <w:uiPriority w:val="0"/>
    <w:pPr>
      <w:widowControl/>
      <w:pBdr>
        <w:top w:val="single" w:color="auto" w:sz="8" w:space="0"/>
        <w:left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6">
    <w:name w:val="xl61"/>
    <w:basedOn w:val="1"/>
    <w:qFormat/>
    <w:uiPriority w:val="0"/>
    <w:pPr>
      <w:widowControl/>
      <w:pBdr>
        <w:top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7">
    <w:name w:val="xl62"/>
    <w:basedOn w:val="1"/>
    <w:qFormat/>
    <w:uiPriority w:val="0"/>
    <w:pPr>
      <w:widowControl/>
      <w:pBdr>
        <w:top w:val="single" w:color="auto" w:sz="8" w:space="0"/>
        <w:right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8">
    <w:name w:val="xl63"/>
    <w:basedOn w:val="1"/>
    <w:qFormat/>
    <w:uiPriority w:val="0"/>
    <w:pPr>
      <w:widowControl/>
      <w:pBdr>
        <w:left w:val="single" w:color="auto" w:sz="8" w:space="0"/>
        <w:bottom w:val="single" w:color="auto" w:sz="8" w:space="0"/>
      </w:pBdr>
      <w:spacing w:before="100" w:beforeAutospacing="1" w:after="100" w:afterAutospacing="1"/>
      <w:textAlignment w:val="top"/>
    </w:pPr>
    <w:rPr>
      <w:rFonts w:eastAsia="Arial Unicode MS"/>
      <w:kern w:val="0"/>
      <w:sz w:val="24"/>
      <w:szCs w:val="24"/>
    </w:rPr>
  </w:style>
  <w:style w:type="paragraph" w:customStyle="1" w:styleId="109">
    <w:name w:val="xl64"/>
    <w:basedOn w:val="1"/>
    <w:qFormat/>
    <w:uiPriority w:val="0"/>
    <w:pPr>
      <w:widowControl/>
      <w:pBdr>
        <w:bottom w:val="single" w:color="auto" w:sz="8" w:space="0"/>
      </w:pBdr>
      <w:spacing w:before="100" w:beforeAutospacing="1" w:after="100" w:afterAutospacing="1"/>
      <w:jc w:val="left"/>
      <w:textAlignment w:val="top"/>
    </w:pPr>
    <w:rPr>
      <w:rFonts w:ascii="Arial Unicode MS" w:hAnsi="Arial Unicode MS" w:eastAsia="Arial Unicode MS" w:cs="Arial Unicode MS"/>
      <w:kern w:val="0"/>
      <w:sz w:val="24"/>
      <w:szCs w:val="24"/>
    </w:rPr>
  </w:style>
  <w:style w:type="paragraph" w:customStyle="1" w:styleId="110">
    <w:name w:val="xl65"/>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eastAsia="Arial Unicode MS"/>
      <w:kern w:val="0"/>
      <w:sz w:val="20"/>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rPr>
  </w:style>
  <w:style w:type="paragraph" w:customStyle="1" w:styleId="11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4">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5">
    <w:name w:val="xl70"/>
    <w:basedOn w:val="1"/>
    <w:qFormat/>
    <w:uiPriority w:val="0"/>
    <w:pPr>
      <w:widowControl/>
      <w:pBdr>
        <w:top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6">
    <w:name w:val="xl71"/>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7">
    <w:name w:val="xl72"/>
    <w:basedOn w:val="1"/>
    <w:qFormat/>
    <w:uiPriority w:val="0"/>
    <w:pPr>
      <w:widowControl/>
      <w:pBdr>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8">
    <w:name w:val="xl7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character" w:customStyle="1" w:styleId="119">
    <w:name w:val="正文文本 2 Char"/>
    <w:basedOn w:val="39"/>
    <w:link w:val="34"/>
    <w:qFormat/>
    <w:uiPriority w:val="0"/>
    <w:rPr>
      <w:rFonts w:ascii="Times New Roman" w:hAnsi="Times New Roman" w:eastAsia="宋体" w:cs="Times New Roman"/>
      <w:sz w:val="28"/>
      <w:szCs w:val="24"/>
    </w:rPr>
  </w:style>
  <w:style w:type="paragraph" w:customStyle="1" w:styleId="120">
    <w:name w:val="正文1"/>
    <w:basedOn w:val="1"/>
    <w:qFormat/>
    <w:uiPriority w:val="0"/>
    <w:pPr>
      <w:spacing w:line="320" w:lineRule="exact"/>
      <w:jc w:val="center"/>
    </w:pPr>
    <w:rPr>
      <w:szCs w:val="24"/>
    </w:rPr>
  </w:style>
  <w:style w:type="paragraph" w:customStyle="1" w:styleId="121">
    <w:name w:val="样式 首行缩进:  2 字符"/>
    <w:basedOn w:val="1"/>
    <w:qFormat/>
    <w:uiPriority w:val="0"/>
    <w:pPr>
      <w:spacing w:line="500" w:lineRule="exact"/>
      <w:ind w:firstLine="560"/>
    </w:pPr>
    <w:rPr>
      <w:sz w:val="24"/>
    </w:rPr>
  </w:style>
  <w:style w:type="paragraph" w:customStyle="1" w:styleId="122">
    <w:name w:val="四号 正文"/>
    <w:basedOn w:val="1"/>
    <w:link w:val="123"/>
    <w:qFormat/>
    <w:uiPriority w:val="0"/>
    <w:pPr>
      <w:ind w:firstLine="584"/>
    </w:pPr>
    <w:rPr>
      <w:spacing w:val="6"/>
    </w:rPr>
  </w:style>
  <w:style w:type="character" w:customStyle="1" w:styleId="123">
    <w:name w:val="四号 正文 Char"/>
    <w:link w:val="122"/>
    <w:qFormat/>
    <w:uiPriority w:val="0"/>
    <w:rPr>
      <w:rFonts w:ascii="Times New Roman" w:hAnsi="Times New Roman" w:eastAsia="宋体" w:cs="Times New Roman"/>
      <w:spacing w:val="6"/>
      <w:sz w:val="28"/>
      <w:szCs w:val="20"/>
    </w:rPr>
  </w:style>
  <w:style w:type="paragraph" w:customStyle="1" w:styleId="124">
    <w:name w:val="段落"/>
    <w:basedOn w:val="1"/>
    <w:link w:val="125"/>
    <w:qFormat/>
    <w:uiPriority w:val="0"/>
    <w:pPr>
      <w:spacing w:line="580" w:lineRule="exact"/>
    </w:pPr>
    <w:rPr>
      <w:spacing w:val="6"/>
    </w:rPr>
  </w:style>
  <w:style w:type="character" w:customStyle="1" w:styleId="125">
    <w:name w:val="段落 Char"/>
    <w:link w:val="124"/>
    <w:qFormat/>
    <w:uiPriority w:val="0"/>
    <w:rPr>
      <w:rFonts w:ascii="Times New Roman" w:hAnsi="Times New Roman" w:eastAsia="宋体" w:cs="Times New Roman"/>
      <w:spacing w:val="6"/>
      <w:sz w:val="28"/>
      <w:szCs w:val="20"/>
    </w:rPr>
  </w:style>
  <w:style w:type="paragraph" w:customStyle="1" w:styleId="126">
    <w:name w:val="段落1"/>
    <w:basedOn w:val="1"/>
    <w:qFormat/>
    <w:uiPriority w:val="0"/>
    <w:pPr>
      <w:spacing w:line="580" w:lineRule="exact"/>
    </w:pPr>
    <w:rPr>
      <w:spacing w:val="6"/>
      <w:szCs w:val="24"/>
    </w:rPr>
  </w:style>
  <w:style w:type="paragraph" w:customStyle="1" w:styleId="127">
    <w:name w:val="样式 四号"/>
    <w:basedOn w:val="1"/>
    <w:qFormat/>
    <w:uiPriority w:val="0"/>
    <w:pPr>
      <w:ind w:firstLine="202" w:firstLineChars="202"/>
    </w:pPr>
    <w:rPr>
      <w:rFonts w:cs="宋体"/>
    </w:rPr>
  </w:style>
  <w:style w:type="paragraph" w:customStyle="1" w:styleId="128">
    <w:name w:val="表格正文"/>
    <w:basedOn w:val="1"/>
    <w:qFormat/>
    <w:uiPriority w:val="0"/>
    <w:pPr>
      <w:adjustRightInd w:val="0"/>
      <w:snapToGrid w:val="0"/>
      <w:ind w:left="-136" w:leftChars="-65" w:right="31" w:rightChars="15"/>
      <w:jc w:val="center"/>
      <w:textAlignment w:val="center"/>
    </w:pPr>
    <w:rPr>
      <w:iCs/>
      <w:sz w:val="24"/>
      <w:szCs w:val="21"/>
    </w:rPr>
  </w:style>
  <w:style w:type="paragraph" w:customStyle="1" w:styleId="129">
    <w:name w:val="Char Char Char Char"/>
    <w:basedOn w:val="1"/>
    <w:qFormat/>
    <w:uiPriority w:val="0"/>
    <w:pPr>
      <w:spacing w:line="580" w:lineRule="exact"/>
    </w:pPr>
    <w:rPr>
      <w:spacing w:val="6"/>
      <w:szCs w:val="24"/>
    </w:rPr>
  </w:style>
  <w:style w:type="paragraph" w:customStyle="1" w:styleId="130">
    <w:name w:val="图表标题"/>
    <w:basedOn w:val="17"/>
    <w:qFormat/>
    <w:uiPriority w:val="0"/>
    <w:pPr>
      <w:ind w:firstLine="536" w:firstLineChars="200"/>
    </w:pPr>
    <w:rPr>
      <w:bCs/>
      <w:color w:val="000000"/>
      <w:spacing w:val="-6"/>
      <w:szCs w:val="28"/>
    </w:rPr>
  </w:style>
  <w:style w:type="paragraph" w:customStyle="1" w:styleId="131">
    <w:name w:val="表头4"/>
    <w:basedOn w:val="1"/>
    <w:qFormat/>
    <w:uiPriority w:val="0"/>
    <w:pPr>
      <w:adjustRightInd w:val="0"/>
      <w:snapToGrid w:val="0"/>
      <w:spacing w:beforeLines="100" w:afterLines="50" w:line="100" w:lineRule="atLeast"/>
      <w:jc w:val="center"/>
    </w:pPr>
    <w:rPr>
      <w:szCs w:val="24"/>
    </w:rPr>
  </w:style>
  <w:style w:type="paragraph" w:customStyle="1" w:styleId="132">
    <w:name w:val="样式1"/>
    <w:basedOn w:val="6"/>
    <w:qFormat/>
    <w:uiPriority w:val="0"/>
    <w:pPr>
      <w:adjustRightInd w:val="0"/>
      <w:snapToGrid w:val="0"/>
      <w:spacing w:before="240" w:after="120" w:line="312" w:lineRule="auto"/>
    </w:pPr>
    <w:rPr>
      <w:rFonts w:ascii="Arial" w:hAnsi="Arial" w:eastAsia="黑体"/>
      <w:sz w:val="30"/>
      <w:szCs w:val="30"/>
    </w:rPr>
  </w:style>
  <w:style w:type="character" w:customStyle="1" w:styleId="133">
    <w:name w:val="正文文本 3 Char"/>
    <w:basedOn w:val="39"/>
    <w:link w:val="14"/>
    <w:qFormat/>
    <w:uiPriority w:val="0"/>
    <w:rPr>
      <w:rFonts w:ascii="Times New Roman" w:hAnsi="Times New Roman" w:eastAsia="宋体" w:cs="Times New Roman"/>
      <w:sz w:val="16"/>
      <w:szCs w:val="20"/>
    </w:rPr>
  </w:style>
  <w:style w:type="paragraph" w:customStyle="1" w:styleId="134">
    <w:name w:val="样式 五号 居中"/>
    <w:basedOn w:val="1"/>
    <w:qFormat/>
    <w:uiPriority w:val="0"/>
    <w:pPr>
      <w:jc w:val="center"/>
    </w:pPr>
    <w:rPr>
      <w:rFonts w:cs="宋体"/>
    </w:rPr>
  </w:style>
  <w:style w:type="paragraph" w:customStyle="1" w:styleId="135">
    <w:name w:val="正文文本 31"/>
    <w:basedOn w:val="1"/>
    <w:qFormat/>
    <w:uiPriority w:val="0"/>
    <w:pPr>
      <w:suppressAutoHyphens/>
      <w:spacing w:after="120"/>
    </w:pPr>
    <w:rPr>
      <w:kern w:val="1"/>
      <w:sz w:val="16"/>
      <w:szCs w:val="16"/>
      <w:lang w:eastAsia="ar-SA"/>
    </w:rPr>
  </w:style>
  <w:style w:type="paragraph" w:customStyle="1" w:styleId="136">
    <w:name w:val="大标题"/>
    <w:basedOn w:val="1"/>
    <w:qFormat/>
    <w:uiPriority w:val="0"/>
    <w:pPr>
      <w:spacing w:afterLines="100"/>
    </w:pPr>
    <w:rPr>
      <w:rFonts w:eastAsia="黑体"/>
      <w:b/>
    </w:rPr>
  </w:style>
  <w:style w:type="paragraph" w:customStyle="1" w:styleId="137">
    <w:name w:val="目录"/>
    <w:basedOn w:val="1"/>
    <w:qFormat/>
    <w:uiPriority w:val="0"/>
    <w:pPr>
      <w:jc w:val="center"/>
    </w:pPr>
    <w:rPr>
      <w:sz w:val="24"/>
      <w:szCs w:val="24"/>
    </w:rPr>
  </w:style>
  <w:style w:type="paragraph" w:customStyle="1" w:styleId="138">
    <w:name w:val="小标题"/>
    <w:basedOn w:val="1"/>
    <w:qFormat/>
    <w:uiPriority w:val="0"/>
    <w:pPr>
      <w:tabs>
        <w:tab w:val="left" w:pos="420"/>
      </w:tabs>
      <w:spacing w:beforeLines="50" w:afterLines="50"/>
      <w:ind w:left="420" w:hanging="420"/>
    </w:pPr>
    <w:rPr>
      <w:b/>
      <w:sz w:val="24"/>
    </w:rPr>
  </w:style>
  <w:style w:type="paragraph" w:customStyle="1" w:styleId="139">
    <w:name w:val="表格"/>
    <w:basedOn w:val="1"/>
    <w:link w:val="140"/>
    <w:qFormat/>
    <w:uiPriority w:val="0"/>
    <w:pPr>
      <w:spacing w:afterLines="50"/>
      <w:jc w:val="center"/>
    </w:pPr>
    <w:rPr>
      <w:sz w:val="24"/>
    </w:rPr>
  </w:style>
  <w:style w:type="character" w:customStyle="1" w:styleId="140">
    <w:name w:val="表格 Char"/>
    <w:link w:val="139"/>
    <w:qFormat/>
    <w:uiPriority w:val="0"/>
    <w:rPr>
      <w:rFonts w:ascii="Times New Roman" w:hAnsi="Times New Roman" w:eastAsia="宋体" w:cs="Times New Roman"/>
      <w:sz w:val="24"/>
      <w:szCs w:val="20"/>
    </w:rPr>
  </w:style>
  <w:style w:type="character" w:customStyle="1" w:styleId="141">
    <w:name w:val="结束语 Char"/>
    <w:basedOn w:val="39"/>
    <w:link w:val="15"/>
    <w:qFormat/>
    <w:uiPriority w:val="0"/>
    <w:rPr>
      <w:rFonts w:ascii="Times New Roman" w:hAnsi="Times New Roman" w:eastAsia="宋体" w:cs="Times New Roman"/>
      <w:sz w:val="24"/>
      <w:szCs w:val="20"/>
    </w:rPr>
  </w:style>
  <w:style w:type="character" w:customStyle="1" w:styleId="142">
    <w:name w:val="纯文本 Char"/>
    <w:basedOn w:val="39"/>
    <w:link w:val="20"/>
    <w:qFormat/>
    <w:uiPriority w:val="0"/>
    <w:rPr>
      <w:rFonts w:ascii="宋体" w:hAnsi="Courier New" w:eastAsia="宋体" w:cs="Times New Roman"/>
      <w:sz w:val="28"/>
      <w:szCs w:val="20"/>
    </w:rPr>
  </w:style>
  <w:style w:type="paragraph" w:customStyle="1" w:styleId="143">
    <w:name w:val="港珠澳表格"/>
    <w:basedOn w:val="1"/>
    <w:qFormat/>
    <w:uiPriority w:val="0"/>
    <w:pPr>
      <w:jc w:val="center"/>
    </w:pPr>
    <w:rPr>
      <w:rFonts w:ascii="宋体"/>
      <w:sz w:val="24"/>
      <w:szCs w:val="21"/>
    </w:rPr>
  </w:style>
  <w:style w:type="character" w:customStyle="1" w:styleId="144">
    <w:name w:val="脚注文本 Char"/>
    <w:link w:val="29"/>
    <w:qFormat/>
    <w:uiPriority w:val="0"/>
    <w:rPr>
      <w:sz w:val="18"/>
    </w:rPr>
  </w:style>
  <w:style w:type="character" w:customStyle="1" w:styleId="145">
    <w:name w:val="脚注文本 Char1"/>
    <w:basedOn w:val="39"/>
    <w:qFormat/>
    <w:uiPriority w:val="99"/>
    <w:rPr>
      <w:rFonts w:ascii="Times New Roman" w:hAnsi="Times New Roman" w:eastAsia="宋体" w:cs="Times New Roman"/>
      <w:sz w:val="18"/>
      <w:szCs w:val="18"/>
    </w:rPr>
  </w:style>
  <w:style w:type="paragraph" w:customStyle="1" w:styleId="146">
    <w:name w:val="图名"/>
    <w:basedOn w:val="1"/>
    <w:qFormat/>
    <w:uiPriority w:val="0"/>
    <w:pPr>
      <w:jc w:val="center"/>
    </w:pPr>
    <w:rPr>
      <w:sz w:val="24"/>
    </w:rPr>
  </w:style>
  <w:style w:type="paragraph" w:customStyle="1" w:styleId="147">
    <w:name w:val="表头"/>
    <w:basedOn w:val="1"/>
    <w:qFormat/>
    <w:uiPriority w:val="0"/>
    <w:pPr>
      <w:jc w:val="center"/>
    </w:pPr>
    <w:rPr>
      <w:rFonts w:eastAsia="黑体"/>
    </w:rPr>
  </w:style>
  <w:style w:type="paragraph" w:customStyle="1" w:styleId="148">
    <w:name w:val="样式__表头"/>
    <w:basedOn w:val="1"/>
    <w:qFormat/>
    <w:uiPriority w:val="0"/>
    <w:pPr>
      <w:autoSpaceDE w:val="0"/>
      <w:autoSpaceDN w:val="0"/>
      <w:adjustRightInd w:val="0"/>
      <w:snapToGrid w:val="0"/>
      <w:jc w:val="center"/>
    </w:pPr>
    <w:rPr>
      <w:rFonts w:eastAsia="黑体"/>
      <w:spacing w:val="10"/>
      <w:kern w:val="0"/>
      <w:sz w:val="24"/>
    </w:rPr>
  </w:style>
  <w:style w:type="paragraph" w:customStyle="1" w:styleId="149">
    <w:name w:val="报告格式—表格标题"/>
    <w:basedOn w:val="1"/>
    <w:qFormat/>
    <w:uiPriority w:val="0"/>
    <w:pPr>
      <w:spacing w:beforeLines="50"/>
      <w:jc w:val="center"/>
      <w:outlineLvl w:val="7"/>
    </w:pPr>
    <w:rPr>
      <w:rFonts w:eastAsia="黑体"/>
      <w:spacing w:val="6"/>
      <w:sz w:val="24"/>
      <w:szCs w:val="21"/>
    </w:rPr>
  </w:style>
  <w:style w:type="paragraph" w:customStyle="1" w:styleId="150">
    <w:name w:val="0-一二"/>
    <w:basedOn w:val="1"/>
    <w:qFormat/>
    <w:uiPriority w:val="0"/>
    <w:pPr>
      <w:keepNext/>
      <w:keepLines/>
      <w:tabs>
        <w:tab w:val="left" w:pos="567"/>
      </w:tabs>
      <w:spacing w:beforeLines="50" w:afterLines="50"/>
      <w:ind w:left="567"/>
      <w:jc w:val="left"/>
      <w:outlineLvl w:val="2"/>
    </w:pPr>
    <w:rPr>
      <w:rFonts w:eastAsia="黑体"/>
      <w:b/>
      <w:spacing w:val="10"/>
      <w:kern w:val="44"/>
      <w:sz w:val="30"/>
      <w:szCs w:val="32"/>
    </w:rPr>
  </w:style>
  <w:style w:type="paragraph" w:customStyle="1" w:styleId="151">
    <w:name w:val="0-正文"/>
    <w:basedOn w:val="1"/>
    <w:link w:val="152"/>
    <w:qFormat/>
    <w:uiPriority w:val="0"/>
    <w:pPr>
      <w:spacing w:line="312" w:lineRule="auto"/>
    </w:pPr>
    <w:rPr>
      <w:spacing w:val="4"/>
    </w:rPr>
  </w:style>
  <w:style w:type="character" w:customStyle="1" w:styleId="152">
    <w:name w:val="0-正文 Char"/>
    <w:link w:val="151"/>
    <w:qFormat/>
    <w:uiPriority w:val="0"/>
    <w:rPr>
      <w:rFonts w:ascii="Times New Roman" w:hAnsi="Times New Roman" w:eastAsia="宋体" w:cs="Times New Roman"/>
      <w:spacing w:val="4"/>
      <w:sz w:val="28"/>
      <w:szCs w:val="20"/>
    </w:rPr>
  </w:style>
  <w:style w:type="paragraph" w:customStyle="1" w:styleId="153">
    <w:name w:val="0-1"/>
    <w:basedOn w:val="151"/>
    <w:qFormat/>
    <w:uiPriority w:val="0"/>
    <w:pPr>
      <w:spacing w:line="360" w:lineRule="auto"/>
      <w:outlineLvl w:val="4"/>
    </w:pPr>
    <w:rPr>
      <w:b/>
    </w:rPr>
  </w:style>
  <w:style w:type="paragraph" w:customStyle="1" w:styleId="154">
    <w:name w:val="0-(一)"/>
    <w:basedOn w:val="153"/>
    <w:qFormat/>
    <w:uiPriority w:val="0"/>
    <w:pPr>
      <w:spacing w:line="480" w:lineRule="auto"/>
      <w:outlineLvl w:val="3"/>
    </w:pPr>
    <w:rPr>
      <w:rFonts w:eastAsia="黑体"/>
      <w:sz w:val="30"/>
    </w:rPr>
  </w:style>
  <w:style w:type="paragraph" w:customStyle="1" w:styleId="155">
    <w:name w:val="0-表头"/>
    <w:basedOn w:val="151"/>
    <w:qFormat/>
    <w:uiPriority w:val="0"/>
    <w:pPr>
      <w:spacing w:line="480" w:lineRule="auto"/>
      <w:ind w:firstLine="0" w:firstLineChars="0"/>
      <w:jc w:val="center"/>
    </w:pPr>
    <w:rPr>
      <w:b/>
      <w:sz w:val="24"/>
    </w:rPr>
  </w:style>
  <w:style w:type="paragraph" w:customStyle="1" w:styleId="156">
    <w:name w:val="报告格式—一"/>
    <w:basedOn w:val="1"/>
    <w:qFormat/>
    <w:uiPriority w:val="0"/>
    <w:pPr>
      <w:spacing w:beforeLines="50" w:afterLines="50"/>
      <w:ind w:firstLine="150" w:firstLineChars="150"/>
      <w:jc w:val="left"/>
      <w:outlineLvl w:val="3"/>
    </w:pPr>
    <w:rPr>
      <w:rFonts w:eastAsia="黑体"/>
      <w:spacing w:val="10"/>
      <w:sz w:val="32"/>
      <w:szCs w:val="36"/>
    </w:rPr>
  </w:style>
  <w:style w:type="paragraph" w:customStyle="1" w:styleId="157">
    <w:name w:val="0－表文5"/>
    <w:basedOn w:val="1"/>
    <w:link w:val="158"/>
    <w:qFormat/>
    <w:uiPriority w:val="0"/>
    <w:pPr>
      <w:jc w:val="center"/>
    </w:pPr>
  </w:style>
  <w:style w:type="character" w:customStyle="1" w:styleId="158">
    <w:name w:val="0－表文5 Char"/>
    <w:link w:val="157"/>
    <w:qFormat/>
    <w:uiPriority w:val="0"/>
    <w:rPr>
      <w:rFonts w:ascii="Times New Roman" w:hAnsi="Times New Roman" w:eastAsia="宋体" w:cs="Times New Roman"/>
      <w:sz w:val="28"/>
      <w:szCs w:val="20"/>
    </w:rPr>
  </w:style>
  <w:style w:type="paragraph" w:customStyle="1" w:styleId="159">
    <w:name w:val="Source"/>
    <w:basedOn w:val="1"/>
    <w:qFormat/>
    <w:uiPriority w:val="0"/>
    <w:pPr>
      <w:tabs>
        <w:tab w:val="left" w:pos="1080"/>
        <w:tab w:val="left" w:pos="2160"/>
        <w:tab w:val="left" w:pos="3240"/>
        <w:tab w:val="left" w:pos="4320"/>
        <w:tab w:val="left" w:pos="5400"/>
        <w:tab w:val="left" w:pos="6480"/>
        <w:tab w:val="left" w:pos="7560"/>
      </w:tabs>
      <w:spacing w:line="260" w:lineRule="atLeast"/>
      <w:jc w:val="left"/>
    </w:pPr>
    <w:rPr>
      <w:sz w:val="18"/>
      <w:szCs w:val="24"/>
    </w:rPr>
  </w:style>
  <w:style w:type="paragraph" w:customStyle="1" w:styleId="160">
    <w:name w:val="样式 Table + 居中1"/>
    <w:basedOn w:val="1"/>
    <w:qFormat/>
    <w:uiPriority w:val="0"/>
    <w:pPr>
      <w:spacing w:line="500" w:lineRule="exact"/>
      <w:jc w:val="center"/>
      <w:textAlignment w:val="center"/>
    </w:pPr>
    <w:rPr>
      <w:rFonts w:ascii="宋体" w:hAnsi="宋体" w:cs="宋体"/>
      <w:spacing w:val="4"/>
      <w:sz w:val="24"/>
    </w:rPr>
  </w:style>
  <w:style w:type="paragraph" w:customStyle="1" w:styleId="161">
    <w:name w:val="数字体报告格式—1.1.1"/>
    <w:basedOn w:val="1"/>
    <w:qFormat/>
    <w:uiPriority w:val="0"/>
    <w:pPr>
      <w:spacing w:beforeLines="100"/>
      <w:jc w:val="left"/>
      <w:outlineLvl w:val="3"/>
    </w:pPr>
    <w:rPr>
      <w:rFonts w:eastAsia="黑体"/>
      <w:spacing w:val="10"/>
      <w:sz w:val="30"/>
      <w:szCs w:val="36"/>
    </w:rPr>
  </w:style>
  <w:style w:type="paragraph" w:customStyle="1" w:styleId="162">
    <w:name w:val="Char Char6"/>
    <w:basedOn w:val="1"/>
    <w:qFormat/>
    <w:uiPriority w:val="0"/>
    <w:pPr>
      <w:widowControl/>
      <w:spacing w:after="160" w:line="240" w:lineRule="exact"/>
      <w:jc w:val="left"/>
    </w:pPr>
    <w:rPr>
      <w:rFonts w:ascii="Verdana" w:hAnsi="Verdana"/>
      <w:kern w:val="0"/>
      <w:sz w:val="20"/>
      <w:lang w:eastAsia="en-US"/>
    </w:rPr>
  </w:style>
  <w:style w:type="paragraph" w:customStyle="1" w:styleId="163">
    <w:name w:val="CN-Text08"/>
    <w:basedOn w:val="1"/>
    <w:link w:val="164"/>
    <w:qFormat/>
    <w:uiPriority w:val="0"/>
    <w:pPr>
      <w:spacing w:beforeLines="25" w:afterLines="25" w:line="440" w:lineRule="exact"/>
      <w:ind w:firstLine="560"/>
    </w:pPr>
    <w:rPr>
      <w:rFonts w:eastAsia="仿宋_GB2312"/>
    </w:rPr>
  </w:style>
  <w:style w:type="character" w:customStyle="1" w:styleId="164">
    <w:name w:val="CN-Text08 Char"/>
    <w:link w:val="163"/>
    <w:qFormat/>
    <w:uiPriority w:val="0"/>
    <w:rPr>
      <w:rFonts w:ascii="Times New Roman" w:hAnsi="Times New Roman" w:eastAsia="仿宋_GB2312" w:cs="Times New Roman"/>
      <w:sz w:val="28"/>
      <w:szCs w:val="20"/>
    </w:rPr>
  </w:style>
  <w:style w:type="character" w:customStyle="1" w:styleId="165">
    <w:name w:val="表1"/>
    <w:qFormat/>
    <w:uiPriority w:val="0"/>
    <w:rPr>
      <w:sz w:val="21"/>
      <w:szCs w:val="24"/>
    </w:rPr>
  </w:style>
  <w:style w:type="table" w:customStyle="1" w:styleId="166">
    <w:name w:val="网格型1"/>
    <w:basedOn w:val="37"/>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7">
    <w:name w:val="表标题"/>
    <w:basedOn w:val="1"/>
    <w:next w:val="1"/>
    <w:qFormat/>
    <w:uiPriority w:val="0"/>
    <w:pPr>
      <w:widowControl/>
      <w:adjustRightInd w:val="0"/>
      <w:snapToGrid w:val="0"/>
      <w:spacing w:beforeLines="50"/>
      <w:ind w:firstLine="0" w:firstLineChars="0"/>
      <w:jc w:val="center"/>
    </w:pPr>
    <w:rPr>
      <w:rFonts w:eastAsia="黑体"/>
      <w:snapToGrid w:val="0"/>
      <w:color w:val="000000"/>
      <w:kern w:val="0"/>
      <w:sz w:val="24"/>
    </w:rPr>
  </w:style>
  <w:style w:type="paragraph" w:customStyle="1" w:styleId="16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table" w:customStyle="1" w:styleId="169">
    <w:name w:val="网格型2"/>
    <w:basedOn w:val="37"/>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0">
    <w:name w:val="List Paragraph"/>
    <w:basedOn w:val="1"/>
    <w:qFormat/>
    <w:uiPriority w:val="34"/>
    <w:pPr>
      <w:spacing w:line="240" w:lineRule="auto"/>
      <w:ind w:firstLine="420"/>
    </w:pPr>
    <w:rPr>
      <w:sz w:val="21"/>
    </w:rPr>
  </w:style>
  <w:style w:type="paragraph" w:customStyle="1" w:styleId="171">
    <w:name w:val="段"/>
    <w:link w:val="17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72">
    <w:name w:val="表格文字"/>
    <w:basedOn w:val="1"/>
    <w:link w:val="174"/>
    <w:qFormat/>
    <w:uiPriority w:val="0"/>
    <w:pPr>
      <w:spacing w:line="240" w:lineRule="auto"/>
      <w:ind w:firstLine="0" w:firstLineChars="0"/>
      <w:jc w:val="center"/>
    </w:pPr>
    <w:rPr>
      <w:kern w:val="44"/>
      <w:sz w:val="21"/>
    </w:rPr>
  </w:style>
  <w:style w:type="character" w:customStyle="1" w:styleId="173">
    <w:name w:val="段 Char"/>
    <w:link w:val="171"/>
    <w:qFormat/>
    <w:uiPriority w:val="0"/>
    <w:rPr>
      <w:rFonts w:ascii="宋体" w:hAnsi="Times New Roman" w:eastAsia="宋体" w:cs="Times New Roman"/>
      <w:kern w:val="0"/>
      <w:szCs w:val="20"/>
    </w:rPr>
  </w:style>
  <w:style w:type="character" w:customStyle="1" w:styleId="174">
    <w:name w:val="表格文字 Char"/>
    <w:link w:val="172"/>
    <w:qFormat/>
    <w:uiPriority w:val="0"/>
    <w:rPr>
      <w:rFonts w:ascii="Times New Roman" w:hAnsi="Times New Roman" w:eastAsia="宋体" w:cs="Times New Roman"/>
      <w:kern w:val="44"/>
      <w:szCs w:val="20"/>
    </w:rPr>
  </w:style>
  <w:style w:type="paragraph" w:customStyle="1" w:styleId="175">
    <w:name w:val="二级条标题"/>
    <w:basedOn w:val="176"/>
    <w:next w:val="171"/>
    <w:qFormat/>
    <w:uiPriority w:val="0"/>
    <w:pPr>
      <w:numPr>
        <w:ilvl w:val="2"/>
        <w:numId w:val="1"/>
      </w:numPr>
      <w:spacing w:before="50" w:after="50"/>
      <w:outlineLvl w:val="3"/>
    </w:pPr>
  </w:style>
  <w:style w:type="paragraph" w:customStyle="1" w:styleId="176">
    <w:name w:val="一级条标题"/>
    <w:next w:val="17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77">
    <w:name w:val="正文表标题"/>
    <w:next w:val="171"/>
    <w:qFormat/>
    <w:uiPriority w:val="0"/>
    <w:pPr>
      <w:numPr>
        <w:ilvl w:val="0"/>
        <w:numId w:val="2"/>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78">
    <w:name w:val="正文图标题"/>
    <w:next w:val="171"/>
    <w:qFormat/>
    <w:uiPriority w:val="0"/>
    <w:pPr>
      <w:numPr>
        <w:ilvl w:val="0"/>
        <w:numId w:val="3"/>
      </w:numPr>
      <w:spacing w:before="156" w:beforeLines="50" w:after="156" w:afterLines="50"/>
      <w:jc w:val="center"/>
    </w:pPr>
    <w:rPr>
      <w:rFonts w:ascii="黑体" w:hAnsi="Calibri" w:eastAsia="黑体" w:cs="Times New Roman"/>
      <w:sz w:val="21"/>
      <w:lang w:val="en-US" w:eastAsia="zh-CN" w:bidi="ar-SA"/>
    </w:rPr>
  </w:style>
  <w:style w:type="paragraph" w:customStyle="1" w:styleId="179">
    <w:name w:val="章标题"/>
    <w:next w:val="171"/>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character" w:customStyle="1" w:styleId="180">
    <w:name w:val="s1"/>
    <w:basedOn w:val="39"/>
    <w:qFormat/>
    <w:uiPriority w:val="0"/>
  </w:style>
  <w:style w:type="paragraph" w:customStyle="1" w:styleId="181">
    <w:name w:val="标准文件_段"/>
    <w:basedOn w:val="1"/>
    <w:link w:val="182"/>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82">
    <w:name w:val="标准文件_段 Char"/>
    <w:basedOn w:val="39"/>
    <w:link w:val="181"/>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6C4A4-93DE-44AB-AA2F-DB7550071DF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76</Pages>
  <Words>5702</Words>
  <Characters>32506</Characters>
  <Lines>270</Lines>
  <Paragraphs>76</Paragraphs>
  <TotalTime>3</TotalTime>
  <ScaleCrop>false</ScaleCrop>
  <LinksUpToDate>false</LinksUpToDate>
  <CharactersWithSpaces>38132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2018-01-11T00:50:00Z</dcterms:created>
  <dc:creator>孙志超</dc:creator>
  <cp:lastModifiedBy>超</cp:lastModifiedBy>
  <cp:lastPrinted>2018-12-03T14:41:00Z</cp:lastPrinted>
  <dcterms:modified xsi:type="dcterms:W3CDTF">2022-10-18T00:31:27Z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