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360" w:lineRule="auto"/>
        <w:ind w:left="420" w:leftChars="200"/>
        <w:jc w:val="center"/>
        <w:rPr>
          <w:rFonts w:ascii="宋体" w:hAnsi="宋体" w:cs="Microsoft JhengHei"/>
          <w:b/>
          <w:position w:val="-1"/>
          <w:sz w:val="36"/>
          <w:szCs w:val="36"/>
        </w:rPr>
      </w:pPr>
      <w:r>
        <w:rPr>
          <w:rFonts w:hint="eastAsia" w:ascii="宋体" w:hAnsi="宋体" w:cs="Microsoft JhengHei"/>
          <w:b/>
          <w:position w:val="-1"/>
          <w:sz w:val="36"/>
          <w:szCs w:val="36"/>
        </w:rPr>
        <w:t>报价方案评审标准</w:t>
      </w:r>
    </w:p>
    <w:tbl>
      <w:tblPr>
        <w:tblStyle w:val="8"/>
        <w:tblW w:w="13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7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0" w:type="dxa"/>
            <w:vMerge w:val="restart"/>
            <w:vAlign w:val="center"/>
          </w:tcPr>
          <w:p>
            <w:pPr>
              <w:spacing w:line="240" w:lineRule="auto"/>
              <w:jc w:val="center"/>
              <w:rPr>
                <w:rFonts w:ascii="宋体" w:hAnsi="宋体" w:cs="Helvetica"/>
                <w:b/>
                <w:bCs/>
                <w:kern w:val="0"/>
                <w:szCs w:val="21"/>
              </w:rPr>
            </w:pPr>
            <w:r>
              <w:rPr>
                <w:rFonts w:ascii="宋体" w:hAnsi="宋体" w:cs="Microsoft JhengHei"/>
                <w:b/>
                <w:position w:val="-1"/>
                <w:szCs w:val="21"/>
              </w:rPr>
              <w:t>评审因素</w:t>
            </w:r>
          </w:p>
        </w:tc>
        <w:tc>
          <w:tcPr>
            <w:tcW w:w="11770" w:type="dxa"/>
            <w:gridSpan w:val="2"/>
            <w:vMerge w:val="restart"/>
            <w:vAlign w:val="center"/>
          </w:tcPr>
          <w:p>
            <w:pPr>
              <w:spacing w:line="240" w:lineRule="auto"/>
              <w:jc w:val="center"/>
              <w:rPr>
                <w:rFonts w:ascii="宋体" w:hAnsi="宋体" w:cs="Helvetica"/>
                <w:b/>
                <w:bCs/>
                <w:kern w:val="0"/>
                <w:szCs w:val="21"/>
              </w:rPr>
            </w:pPr>
            <w:r>
              <w:rPr>
                <w:rFonts w:ascii="宋体" w:hAnsi="宋体" w:cs="Microsoft JhengHei"/>
                <w:b/>
                <w:position w:val="-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80" w:type="dxa"/>
            <w:vMerge w:val="continue"/>
            <w:vAlign w:val="center"/>
          </w:tcPr>
          <w:p>
            <w:pPr>
              <w:spacing w:line="240" w:lineRule="auto"/>
              <w:jc w:val="center"/>
              <w:rPr>
                <w:rFonts w:ascii="宋体" w:hAnsi="宋体" w:cs="Microsoft JhengHei"/>
                <w:szCs w:val="21"/>
              </w:rPr>
            </w:pPr>
          </w:p>
        </w:tc>
        <w:tc>
          <w:tcPr>
            <w:tcW w:w="11770" w:type="dxa"/>
            <w:gridSpan w:val="2"/>
            <w:vMerge w:val="continue"/>
            <w:vAlign w:val="center"/>
          </w:tcPr>
          <w:p>
            <w:pPr>
              <w:spacing w:line="240" w:lineRule="auto"/>
              <w:jc w:val="center"/>
              <w:rPr>
                <w:rFonts w:ascii="宋体" w:hAnsi="宋体" w:cs="Helvetic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980" w:type="dxa"/>
            <w:vAlign w:val="center"/>
          </w:tcPr>
          <w:p>
            <w:pPr>
              <w:spacing w:line="240" w:lineRule="auto"/>
              <w:jc w:val="center"/>
              <w:rPr>
                <w:rFonts w:ascii="宋体" w:hAnsi="宋体" w:cs="Helvetica"/>
                <w:b/>
                <w:bCs/>
                <w:kern w:val="0"/>
                <w:szCs w:val="21"/>
              </w:rPr>
            </w:pPr>
            <w:r>
              <w:rPr>
                <w:rFonts w:hint="eastAsia" w:ascii="宋体" w:hAnsi="宋体" w:cs="Microsoft JhengHei"/>
                <w:szCs w:val="21"/>
              </w:rPr>
              <w:t>资质审查</w:t>
            </w:r>
          </w:p>
        </w:tc>
        <w:tc>
          <w:tcPr>
            <w:tcW w:w="11770" w:type="dxa"/>
            <w:gridSpan w:val="2"/>
            <w:vAlign w:val="center"/>
          </w:tcPr>
          <w:p>
            <w:pPr>
              <w:widowControl w:val="0"/>
              <w:spacing w:line="240" w:lineRule="auto"/>
              <w:jc w:val="both"/>
              <w:rPr>
                <w:rFonts w:ascii="宋体" w:hAnsi="宋体" w:cs="Helvetica"/>
                <w:b/>
                <w:bCs/>
                <w:kern w:val="0"/>
                <w:szCs w:val="21"/>
              </w:rPr>
            </w:pPr>
            <w:r>
              <w:rPr>
                <w:rFonts w:hint="eastAsia" w:ascii="宋体" w:hAnsi="宋体" w:cs="宋体"/>
                <w:bCs/>
                <w:szCs w:val="21"/>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980" w:type="dxa"/>
            <w:vMerge w:val="restart"/>
            <w:vAlign w:val="center"/>
          </w:tcPr>
          <w:p>
            <w:pPr>
              <w:spacing w:line="240" w:lineRule="auto"/>
              <w:jc w:val="center"/>
              <w:rPr>
                <w:rFonts w:ascii="宋体" w:hAnsi="宋体" w:cs="Microsoft JhengHei"/>
                <w:szCs w:val="21"/>
              </w:rPr>
            </w:pPr>
            <w:r>
              <w:rPr>
                <w:rFonts w:ascii="宋体" w:hAnsi="宋体" w:cs="Microsoft JhengHei"/>
                <w:szCs w:val="21"/>
              </w:rPr>
              <w:t>技术部分</w:t>
            </w:r>
          </w:p>
          <w:p>
            <w:pPr>
              <w:spacing w:line="240" w:lineRule="auto"/>
              <w:jc w:val="center"/>
              <w:rPr>
                <w:rFonts w:ascii="宋体" w:hAnsi="宋体" w:cs="Helvetica"/>
                <w:b/>
                <w:bCs/>
                <w:kern w:val="0"/>
                <w:szCs w:val="21"/>
              </w:rPr>
            </w:pPr>
            <w:r>
              <w:rPr>
                <w:rFonts w:hint="eastAsia" w:ascii="宋体" w:hAnsi="宋体" w:cs="Microsoft JhengHei"/>
                <w:szCs w:val="21"/>
              </w:rPr>
              <w:t>（</w:t>
            </w:r>
            <w:r>
              <w:rPr>
                <w:rFonts w:hint="eastAsia" w:ascii="宋体" w:hAnsi="宋体" w:cs="Microsoft JhengHei"/>
                <w:szCs w:val="21"/>
                <w:lang w:val="en-US" w:eastAsia="zh-CN"/>
              </w:rPr>
              <w:t>50</w:t>
            </w:r>
            <w:r>
              <w:rPr>
                <w:rFonts w:hint="eastAsia" w:ascii="宋体" w:hAnsi="宋体" w:cs="Microsoft JhengHei"/>
                <w:szCs w:val="21"/>
              </w:rPr>
              <w:t>分）</w:t>
            </w:r>
          </w:p>
        </w:tc>
        <w:tc>
          <w:tcPr>
            <w:tcW w:w="2977" w:type="dxa"/>
            <w:vAlign w:val="center"/>
          </w:tcPr>
          <w:p>
            <w:pPr>
              <w:widowControl w:val="0"/>
              <w:spacing w:line="240" w:lineRule="auto"/>
              <w:jc w:val="center"/>
              <w:rPr>
                <w:rFonts w:ascii="宋体" w:hAnsi="宋体" w:cs="宋体"/>
                <w:szCs w:val="21"/>
              </w:rPr>
            </w:pPr>
            <w:r>
              <w:rPr>
                <w:rFonts w:hint="eastAsia" w:ascii="宋体" w:hAnsi="宋体" w:cs="宋体"/>
                <w:szCs w:val="21"/>
              </w:rPr>
              <w:t>对项目的理解</w:t>
            </w:r>
          </w:p>
          <w:p>
            <w:pPr>
              <w:widowControl w:val="0"/>
              <w:spacing w:line="240" w:lineRule="auto"/>
              <w:jc w:val="center"/>
              <w:rPr>
                <w:rFonts w:ascii="宋体" w:hAnsi="宋体" w:cs="宋体"/>
                <w:szCs w:val="21"/>
              </w:rPr>
            </w:pPr>
            <w:r>
              <w:rPr>
                <w:rFonts w:hint="eastAsia" w:ascii="宋体" w:hAnsi="宋体" w:cs="宋体"/>
                <w:szCs w:val="21"/>
              </w:rPr>
              <w:t>（10分）</w:t>
            </w:r>
          </w:p>
        </w:tc>
        <w:tc>
          <w:tcPr>
            <w:tcW w:w="8793" w:type="dxa"/>
            <w:vAlign w:val="center"/>
          </w:tcPr>
          <w:p>
            <w:pPr>
              <w:widowControl w:val="0"/>
              <w:spacing w:line="240" w:lineRule="auto"/>
              <w:jc w:val="both"/>
              <w:rPr>
                <w:rFonts w:ascii="宋体" w:hAnsi="宋体" w:cs="宋体"/>
                <w:bCs/>
                <w:szCs w:val="21"/>
              </w:rPr>
            </w:pPr>
            <w:r>
              <w:rPr>
                <w:rFonts w:hint="eastAsia" w:ascii="宋体" w:hAnsi="宋体" w:cs="宋体"/>
                <w:bCs/>
                <w:szCs w:val="21"/>
              </w:rPr>
              <w:t>对项目理解全面、准确，认识深刻，</w:t>
            </w:r>
            <w:r>
              <w:rPr>
                <w:rFonts w:ascii="宋体" w:hAnsi="宋体" w:cs="宋体"/>
                <w:bCs/>
                <w:szCs w:val="21"/>
              </w:rPr>
              <w:t>完全满足且优于用户需求得</w:t>
            </w:r>
            <w:r>
              <w:rPr>
                <w:rFonts w:hint="eastAsia" w:ascii="宋体" w:hAnsi="宋体" w:cs="宋体"/>
                <w:bCs/>
                <w:szCs w:val="21"/>
              </w:rPr>
              <w:t>10</w:t>
            </w:r>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对项目理解较透彻，认识较深刻，</w:t>
            </w:r>
            <w:r>
              <w:rPr>
                <w:rFonts w:ascii="宋体" w:hAnsi="宋体" w:cs="宋体"/>
                <w:bCs/>
                <w:szCs w:val="21"/>
              </w:rPr>
              <w:t>满足用户需求得</w:t>
            </w:r>
            <w:r>
              <w:rPr>
                <w:rFonts w:hint="eastAsia" w:ascii="宋体" w:hAnsi="宋体" w:cs="宋体"/>
                <w:bCs/>
                <w:szCs w:val="21"/>
              </w:rPr>
              <w:t>7</w:t>
            </w:r>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对项目理解一般，认识一般，</w:t>
            </w:r>
            <w:r>
              <w:rPr>
                <w:rFonts w:ascii="宋体" w:hAnsi="宋体" w:cs="宋体"/>
                <w:bCs/>
                <w:szCs w:val="21"/>
              </w:rPr>
              <w:t>基本满足用户需求得</w:t>
            </w:r>
            <w:r>
              <w:rPr>
                <w:rFonts w:hint="eastAsia" w:ascii="宋体" w:hAnsi="宋体" w:cs="宋体"/>
                <w:bCs/>
                <w:szCs w:val="21"/>
              </w:rPr>
              <w:t>4</w:t>
            </w:r>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完全没有相关内容的，本评分项得</w:t>
            </w:r>
            <w:r>
              <w:rPr>
                <w:rFonts w:ascii="宋体" w:hAnsi="宋体" w:cs="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jc w:val="center"/>
        </w:trPr>
        <w:tc>
          <w:tcPr>
            <w:tcW w:w="1980" w:type="dxa"/>
            <w:vMerge w:val="continue"/>
            <w:vAlign w:val="center"/>
          </w:tcPr>
          <w:p>
            <w:pPr>
              <w:spacing w:line="240" w:lineRule="auto"/>
              <w:jc w:val="center"/>
              <w:rPr>
                <w:rFonts w:ascii="宋体" w:hAnsi="宋体" w:cs="Microsoft JhengHei"/>
                <w:szCs w:val="21"/>
              </w:rPr>
            </w:pPr>
          </w:p>
        </w:tc>
        <w:tc>
          <w:tcPr>
            <w:tcW w:w="2977" w:type="dxa"/>
            <w:vAlign w:val="center"/>
          </w:tcPr>
          <w:p>
            <w:pPr>
              <w:widowControl w:val="0"/>
              <w:spacing w:line="240" w:lineRule="auto"/>
              <w:jc w:val="center"/>
              <w:rPr>
                <w:rFonts w:ascii="宋体" w:hAnsi="宋体"/>
                <w:szCs w:val="21"/>
              </w:rPr>
            </w:pPr>
            <w:r>
              <w:rPr>
                <w:rFonts w:hint="eastAsia" w:ascii="宋体" w:hAnsi="宋体"/>
                <w:szCs w:val="21"/>
              </w:rPr>
              <w:t>重点、难点</w:t>
            </w:r>
          </w:p>
          <w:p>
            <w:pPr>
              <w:widowControl w:val="0"/>
              <w:spacing w:line="240" w:lineRule="auto"/>
              <w:jc w:val="center"/>
              <w:rPr>
                <w:rFonts w:ascii="宋体" w:hAnsi="宋体"/>
                <w:szCs w:val="21"/>
              </w:rPr>
            </w:pPr>
            <w:r>
              <w:rPr>
                <w:rFonts w:hint="eastAsia" w:ascii="宋体" w:hAnsi="宋体"/>
                <w:szCs w:val="21"/>
              </w:rPr>
              <w:t>问题及措施</w:t>
            </w:r>
          </w:p>
          <w:p>
            <w:pPr>
              <w:widowControl w:val="0"/>
              <w:spacing w:line="240" w:lineRule="auto"/>
              <w:jc w:val="center"/>
              <w:rPr>
                <w:rFonts w:ascii="宋体" w:hAnsi="宋体"/>
                <w:szCs w:val="21"/>
              </w:rPr>
            </w:pPr>
            <w:r>
              <w:rPr>
                <w:rFonts w:hint="eastAsia" w:ascii="宋体" w:hAnsi="宋体" w:cs="宋体"/>
                <w:szCs w:val="21"/>
              </w:rPr>
              <w:t>（10分）</w:t>
            </w:r>
          </w:p>
        </w:tc>
        <w:tc>
          <w:tcPr>
            <w:tcW w:w="8793" w:type="dxa"/>
            <w:vAlign w:val="center"/>
          </w:tcPr>
          <w:p>
            <w:pPr>
              <w:widowControl w:val="0"/>
              <w:spacing w:line="240" w:lineRule="auto"/>
              <w:jc w:val="both"/>
              <w:rPr>
                <w:rFonts w:ascii="宋体" w:hAnsi="宋体"/>
                <w:szCs w:val="21"/>
              </w:rPr>
            </w:pPr>
            <w:r>
              <w:rPr>
                <w:rFonts w:hint="eastAsia" w:ascii="宋体" w:hAnsi="宋体"/>
                <w:szCs w:val="21"/>
              </w:rPr>
              <w:t>对本项目关键性技术难题理解分析全面、准确、应对措施合理可行</w:t>
            </w:r>
            <w:r>
              <w:rPr>
                <w:rFonts w:hint="eastAsia" w:ascii="宋体" w:hAnsi="宋体"/>
                <w:szCs w:val="21"/>
                <w:lang w:eastAsia="zh-CN"/>
              </w:rPr>
              <w:t>，</w:t>
            </w:r>
            <w:r>
              <w:rPr>
                <w:rFonts w:ascii="宋体" w:hAnsi="宋体"/>
                <w:szCs w:val="21"/>
              </w:rPr>
              <w:t xml:space="preserve"> 完全满足且优于用户需求得</w:t>
            </w:r>
            <w:r>
              <w:rPr>
                <w:rFonts w:hint="eastAsia" w:ascii="宋体" w:hAnsi="宋体"/>
                <w:szCs w:val="21"/>
              </w:rPr>
              <w:t>10</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对本项目关键性技术难题理解分析较全面、较准确、应对措施较合理可行</w:t>
            </w:r>
            <w:r>
              <w:rPr>
                <w:rFonts w:hint="eastAsia" w:ascii="宋体" w:hAnsi="宋体"/>
                <w:szCs w:val="21"/>
                <w:lang w:eastAsia="zh-CN"/>
              </w:rPr>
              <w:t>，</w:t>
            </w:r>
            <w:r>
              <w:rPr>
                <w:rFonts w:ascii="宋体" w:hAnsi="宋体"/>
                <w:szCs w:val="21"/>
              </w:rPr>
              <w:t xml:space="preserve"> 满足用户需求得</w:t>
            </w:r>
            <w:r>
              <w:rPr>
                <w:rFonts w:hint="eastAsia" w:ascii="宋体" w:hAnsi="宋体"/>
                <w:szCs w:val="21"/>
              </w:rPr>
              <w:t>7</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对本项目关键性技术难题理解分析一般、应对措施一般</w:t>
            </w:r>
            <w:r>
              <w:rPr>
                <w:rFonts w:hint="eastAsia" w:ascii="宋体" w:hAnsi="宋体"/>
                <w:szCs w:val="21"/>
                <w:lang w:eastAsia="zh-CN"/>
              </w:rPr>
              <w:t>，</w:t>
            </w:r>
            <w:r>
              <w:rPr>
                <w:rFonts w:ascii="宋体" w:hAnsi="宋体"/>
                <w:szCs w:val="21"/>
              </w:rPr>
              <w:t xml:space="preserve"> 基本满足用户需求得</w:t>
            </w:r>
            <w:r>
              <w:rPr>
                <w:rFonts w:hint="eastAsia" w:ascii="宋体" w:hAnsi="宋体"/>
                <w:szCs w:val="21"/>
              </w:rPr>
              <w:t>4</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完全没有相关内容的，本评分项得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980" w:type="dxa"/>
            <w:vMerge w:val="continue"/>
            <w:vAlign w:val="center"/>
          </w:tcPr>
          <w:p>
            <w:pPr>
              <w:spacing w:line="240" w:lineRule="auto"/>
              <w:jc w:val="center"/>
              <w:rPr>
                <w:rFonts w:ascii="宋体" w:hAnsi="宋体" w:cs="Microsoft JhengHei"/>
                <w:szCs w:val="21"/>
              </w:rPr>
            </w:pPr>
          </w:p>
        </w:tc>
        <w:tc>
          <w:tcPr>
            <w:tcW w:w="2977" w:type="dxa"/>
            <w:vAlign w:val="center"/>
          </w:tcPr>
          <w:p>
            <w:pPr>
              <w:widowControl w:val="0"/>
              <w:spacing w:line="240" w:lineRule="auto"/>
              <w:jc w:val="center"/>
              <w:rPr>
                <w:rFonts w:ascii="宋体" w:hAnsi="宋体" w:cs="宋体"/>
                <w:szCs w:val="21"/>
              </w:rPr>
            </w:pPr>
            <w:r>
              <w:rPr>
                <w:rFonts w:hint="eastAsia" w:ascii="宋体" w:hAnsi="宋体" w:cs="宋体"/>
                <w:szCs w:val="21"/>
              </w:rPr>
              <w:t>工作内容</w:t>
            </w:r>
          </w:p>
          <w:p>
            <w:pPr>
              <w:widowControl w:val="0"/>
              <w:spacing w:line="24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8793" w:type="dxa"/>
            <w:vAlign w:val="center"/>
          </w:tcPr>
          <w:p>
            <w:pPr>
              <w:widowControl w:val="0"/>
              <w:spacing w:line="240" w:lineRule="auto"/>
              <w:jc w:val="both"/>
              <w:rPr>
                <w:rFonts w:ascii="宋体" w:hAnsi="宋体" w:cs="宋体"/>
                <w:bCs/>
                <w:szCs w:val="21"/>
              </w:rPr>
            </w:pPr>
            <w:r>
              <w:rPr>
                <w:rFonts w:hint="eastAsia" w:ascii="宋体" w:hAnsi="宋体" w:cs="宋体"/>
                <w:bCs/>
                <w:szCs w:val="21"/>
              </w:rPr>
              <w:t>对项目工作内容进行综合评分：</w:t>
            </w:r>
          </w:p>
          <w:p>
            <w:pPr>
              <w:widowControl w:val="0"/>
              <w:spacing w:line="240" w:lineRule="auto"/>
              <w:jc w:val="both"/>
              <w:rPr>
                <w:rFonts w:ascii="宋体" w:hAnsi="宋体" w:cs="宋体"/>
                <w:bCs/>
                <w:szCs w:val="21"/>
              </w:rPr>
            </w:pPr>
            <w:r>
              <w:rPr>
                <w:rFonts w:hint="eastAsia" w:ascii="宋体" w:hAnsi="宋体" w:cs="宋体"/>
                <w:bCs/>
                <w:szCs w:val="21"/>
              </w:rPr>
              <w:t>对主要内容理解全面、系统、到位，完全满足且优于用户需求得</w:t>
            </w:r>
            <w:r>
              <w:rPr>
                <w:rFonts w:hint="eastAsia" w:ascii="宋体" w:hAnsi="宋体" w:cs="宋体"/>
                <w:bCs/>
                <w:szCs w:val="21"/>
                <w:lang w:val="en-US" w:eastAsia="zh-CN"/>
              </w:rPr>
              <w:t>10</w:t>
            </w:r>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对主要内容理解较全面、较系统、较到位，满足用户需求得</w:t>
            </w:r>
            <w:r>
              <w:rPr>
                <w:rFonts w:hint="eastAsia" w:ascii="宋体" w:hAnsi="宋体" w:cs="宋体"/>
                <w:bCs/>
                <w:szCs w:val="21"/>
                <w:lang w:val="en-US" w:eastAsia="zh-CN"/>
              </w:rPr>
              <w:t>7</w:t>
            </w:r>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对主要内容理解不够全面、系统、到位，基本满足用户需求得</w:t>
            </w:r>
            <w:r>
              <w:rPr>
                <w:rFonts w:hint="eastAsia" w:ascii="宋体" w:hAnsi="宋体" w:cs="宋体"/>
                <w:bCs/>
                <w:szCs w:val="21"/>
                <w:lang w:val="en-US" w:eastAsia="zh-CN"/>
              </w:rPr>
              <w:t>4</w:t>
            </w:r>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完全没有相关内容的，本评分项得</w:t>
            </w:r>
            <w:r>
              <w:rPr>
                <w:rFonts w:ascii="宋体" w:hAnsi="宋体" w:cs="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1980" w:type="dxa"/>
            <w:vMerge w:val="continue"/>
            <w:vAlign w:val="center"/>
          </w:tcPr>
          <w:p>
            <w:pPr>
              <w:spacing w:line="240" w:lineRule="auto"/>
              <w:jc w:val="center"/>
              <w:rPr>
                <w:rFonts w:ascii="宋体" w:hAnsi="宋体" w:cs="Microsoft JhengHei"/>
                <w:szCs w:val="21"/>
              </w:rPr>
            </w:pPr>
          </w:p>
        </w:tc>
        <w:tc>
          <w:tcPr>
            <w:tcW w:w="2977" w:type="dxa"/>
            <w:vAlign w:val="center"/>
          </w:tcPr>
          <w:p>
            <w:pPr>
              <w:widowControl w:val="0"/>
              <w:spacing w:line="240" w:lineRule="auto"/>
              <w:jc w:val="center"/>
              <w:rPr>
                <w:rFonts w:ascii="宋体" w:hAnsi="宋体" w:cs="宋体"/>
                <w:szCs w:val="21"/>
              </w:rPr>
            </w:pPr>
            <w:r>
              <w:rPr>
                <w:rFonts w:hint="eastAsia" w:ascii="宋体" w:hAnsi="宋体" w:cs="宋体"/>
                <w:szCs w:val="21"/>
              </w:rPr>
              <w:t>技术路线、方法</w:t>
            </w:r>
          </w:p>
          <w:p>
            <w:pPr>
              <w:widowControl w:val="0"/>
              <w:spacing w:line="24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8793" w:type="dxa"/>
            <w:vAlign w:val="center"/>
          </w:tcPr>
          <w:p>
            <w:pPr>
              <w:widowControl w:val="0"/>
              <w:spacing w:line="240" w:lineRule="auto"/>
              <w:jc w:val="both"/>
              <w:rPr>
                <w:rFonts w:ascii="宋体" w:hAnsi="宋体"/>
                <w:szCs w:val="21"/>
              </w:rPr>
            </w:pPr>
            <w:r>
              <w:rPr>
                <w:rFonts w:hint="eastAsia" w:ascii="宋体" w:hAnsi="宋体"/>
                <w:szCs w:val="21"/>
              </w:rPr>
              <w:t>合理，可实施，方法和技术路线合理、正确，针对性和可操作性强，完全满足且优于用户需求得</w:t>
            </w:r>
            <w:r>
              <w:rPr>
                <w:rFonts w:hint="eastAsia" w:ascii="宋体" w:hAnsi="宋体"/>
                <w:szCs w:val="21"/>
                <w:lang w:val="en-US" w:eastAsia="zh-CN"/>
              </w:rPr>
              <w:t>10</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较合理，方法和技术路线合理、正确，针对性和可操作性一般，满足用户需求得</w:t>
            </w:r>
            <w:r>
              <w:rPr>
                <w:rFonts w:hint="eastAsia" w:ascii="宋体" w:hAnsi="宋体"/>
                <w:szCs w:val="21"/>
                <w:lang w:val="en-US" w:eastAsia="zh-CN"/>
              </w:rPr>
              <w:t>7</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不够合理，方法和技术路线一般，基本满足用户需求得</w:t>
            </w:r>
            <w:r>
              <w:rPr>
                <w:rFonts w:hint="eastAsia" w:ascii="宋体" w:hAnsi="宋体"/>
                <w:szCs w:val="21"/>
                <w:lang w:val="en-US" w:eastAsia="zh-CN"/>
              </w:rPr>
              <w:t>4</w:t>
            </w:r>
            <w:r>
              <w:rPr>
                <w:rFonts w:ascii="宋体" w:hAnsi="宋体"/>
                <w:szCs w:val="21"/>
              </w:rPr>
              <w:t>分。</w:t>
            </w:r>
          </w:p>
          <w:p>
            <w:pPr>
              <w:widowControl w:val="0"/>
              <w:spacing w:line="240" w:lineRule="auto"/>
              <w:jc w:val="both"/>
              <w:rPr>
                <w:rFonts w:ascii="宋体" w:hAnsi="宋体" w:cs="宋体"/>
                <w:bCs/>
                <w:szCs w:val="21"/>
              </w:rPr>
            </w:pPr>
            <w:r>
              <w:rPr>
                <w:rFonts w:hint="eastAsia" w:ascii="宋体" w:hAnsi="宋体"/>
                <w:szCs w:val="21"/>
              </w:rPr>
              <w:t>完全没有相关内容的，本评分项得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1980" w:type="dxa"/>
            <w:vMerge w:val="continue"/>
            <w:vAlign w:val="center"/>
          </w:tcPr>
          <w:p>
            <w:pPr>
              <w:spacing w:line="240" w:lineRule="auto"/>
              <w:jc w:val="center"/>
              <w:rPr>
                <w:rFonts w:ascii="宋体" w:hAnsi="宋体" w:cs="Microsoft JhengHei"/>
                <w:szCs w:val="21"/>
              </w:rPr>
            </w:pPr>
          </w:p>
        </w:tc>
        <w:tc>
          <w:tcPr>
            <w:tcW w:w="2977" w:type="dxa"/>
            <w:vAlign w:val="center"/>
          </w:tcPr>
          <w:p>
            <w:pPr>
              <w:widowControl w:val="0"/>
              <w:snapToGrid w:val="0"/>
              <w:spacing w:line="240" w:lineRule="auto"/>
              <w:jc w:val="center"/>
              <w:rPr>
                <w:rFonts w:ascii="宋体" w:hAnsi="宋体" w:cs="宋体"/>
                <w:szCs w:val="21"/>
              </w:rPr>
            </w:pPr>
            <w:r>
              <w:rPr>
                <w:rFonts w:hint="eastAsia" w:ascii="宋体" w:hAnsi="宋体" w:cs="宋体"/>
                <w:szCs w:val="21"/>
              </w:rPr>
              <w:t>工作进度计划</w:t>
            </w:r>
            <w:r>
              <w:rPr>
                <w:rFonts w:hint="eastAsia" w:ascii="宋体" w:hAnsi="宋体" w:cs="宋体"/>
                <w:szCs w:val="21"/>
                <w:lang w:eastAsia="zh-CN"/>
              </w:rPr>
              <w:t>、</w:t>
            </w:r>
            <w:r>
              <w:rPr>
                <w:rFonts w:hint="eastAsia" w:ascii="宋体" w:hAnsi="宋体" w:cs="宋体"/>
                <w:szCs w:val="21"/>
              </w:rPr>
              <w:t>安排</w:t>
            </w:r>
          </w:p>
          <w:p>
            <w:pPr>
              <w:widowControl w:val="0"/>
              <w:snapToGrid w:val="0"/>
              <w:spacing w:line="24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tc>
        <w:tc>
          <w:tcPr>
            <w:tcW w:w="8793" w:type="dxa"/>
            <w:vAlign w:val="center"/>
          </w:tcPr>
          <w:p>
            <w:pPr>
              <w:widowControl w:val="0"/>
              <w:spacing w:line="240" w:lineRule="auto"/>
              <w:jc w:val="both"/>
              <w:rPr>
                <w:rFonts w:ascii="宋体" w:hAnsi="宋体" w:cs="宋体"/>
                <w:bCs/>
                <w:szCs w:val="21"/>
              </w:rPr>
            </w:pPr>
            <w:r>
              <w:rPr>
                <w:rFonts w:hint="eastAsia" w:ascii="宋体" w:hAnsi="宋体" w:cs="宋体"/>
                <w:bCs/>
                <w:szCs w:val="21"/>
              </w:rPr>
              <w:t>针对本项目的实施进度计划详细、合理，完全满足且优于用户需求得</w:t>
            </w:r>
            <w:r>
              <w:rPr>
                <w:rFonts w:hint="eastAsia" w:ascii="宋体" w:hAnsi="宋体" w:cs="宋体"/>
                <w:bCs/>
                <w:szCs w:val="21"/>
                <w:lang w:val="en-US" w:eastAsia="zh-CN"/>
              </w:rPr>
              <w:t>7</w:t>
            </w:r>
            <w:bookmarkStart w:id="0" w:name="_GoBack"/>
            <w:bookmarkEnd w:id="0"/>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针对本项目的实施进度计划较详细、较合理，满足用户需求得4</w:t>
            </w:r>
            <w:r>
              <w:rPr>
                <w:rFonts w:ascii="宋体" w:hAnsi="宋体" w:cs="宋体"/>
                <w:bCs/>
                <w:szCs w:val="21"/>
              </w:rPr>
              <w:t>分；</w:t>
            </w:r>
          </w:p>
          <w:p>
            <w:pPr>
              <w:widowControl w:val="0"/>
              <w:spacing w:line="240" w:lineRule="auto"/>
              <w:jc w:val="both"/>
              <w:rPr>
                <w:rFonts w:ascii="宋体" w:hAnsi="宋体" w:cs="宋体"/>
                <w:bCs/>
                <w:szCs w:val="21"/>
              </w:rPr>
            </w:pPr>
            <w:r>
              <w:rPr>
                <w:rFonts w:hint="eastAsia" w:ascii="宋体" w:hAnsi="宋体" w:cs="宋体"/>
                <w:bCs/>
                <w:szCs w:val="21"/>
              </w:rPr>
              <w:t>针对本项目的实施进度计划不够详细、合理，基本满足用户需求得2</w:t>
            </w:r>
            <w:r>
              <w:rPr>
                <w:rFonts w:ascii="宋体" w:hAnsi="宋体" w:cs="宋体"/>
                <w:bCs/>
                <w:szCs w:val="21"/>
              </w:rPr>
              <w:t>分；</w:t>
            </w:r>
          </w:p>
          <w:p>
            <w:pPr>
              <w:widowControl w:val="0"/>
              <w:spacing w:line="240" w:lineRule="auto"/>
              <w:jc w:val="both"/>
              <w:rPr>
                <w:rFonts w:ascii="宋体" w:hAnsi="宋体"/>
                <w:szCs w:val="21"/>
              </w:rPr>
            </w:pPr>
            <w:r>
              <w:rPr>
                <w:rFonts w:hint="eastAsia" w:ascii="宋体" w:hAnsi="宋体" w:cs="宋体"/>
                <w:bCs/>
                <w:szCs w:val="21"/>
              </w:rPr>
              <w:t>完全没有相关内容的，本评分项得</w:t>
            </w:r>
            <w:r>
              <w:rPr>
                <w:rFonts w:ascii="宋体" w:hAnsi="宋体" w:cs="宋体"/>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980" w:type="dxa"/>
            <w:vMerge w:val="continue"/>
            <w:vAlign w:val="center"/>
          </w:tcPr>
          <w:p>
            <w:pPr>
              <w:spacing w:line="240" w:lineRule="auto"/>
              <w:jc w:val="center"/>
              <w:rPr>
                <w:rFonts w:ascii="宋体" w:hAnsi="宋体" w:cs="Microsoft JhengHei"/>
                <w:szCs w:val="21"/>
              </w:rPr>
            </w:pPr>
          </w:p>
        </w:tc>
        <w:tc>
          <w:tcPr>
            <w:tcW w:w="2977" w:type="dxa"/>
            <w:vAlign w:val="center"/>
          </w:tcPr>
          <w:p>
            <w:pPr>
              <w:widowControl w:val="0"/>
              <w:spacing w:line="240" w:lineRule="auto"/>
              <w:jc w:val="center"/>
              <w:rPr>
                <w:rFonts w:ascii="宋体" w:hAnsi="宋体"/>
                <w:szCs w:val="21"/>
              </w:rPr>
            </w:pPr>
            <w:r>
              <w:rPr>
                <w:rFonts w:hint="eastAsia" w:ascii="宋体" w:hAnsi="宋体"/>
                <w:szCs w:val="21"/>
              </w:rPr>
              <w:t>质量保证措施</w:t>
            </w:r>
          </w:p>
          <w:p>
            <w:pPr>
              <w:widowControl w:val="0"/>
              <w:spacing w:line="240" w:lineRule="auto"/>
              <w:jc w:val="center"/>
              <w:rPr>
                <w:rFonts w:ascii="宋体" w:hAnsi="宋体" w:cs="宋体"/>
                <w:szCs w:val="21"/>
              </w:rPr>
            </w:pPr>
            <w:r>
              <w:rPr>
                <w:rFonts w:hint="eastAsia" w:ascii="宋体" w:hAnsi="宋体" w:cs="宋体"/>
                <w:szCs w:val="21"/>
              </w:rPr>
              <w:t>（3分）</w:t>
            </w:r>
          </w:p>
        </w:tc>
        <w:tc>
          <w:tcPr>
            <w:tcW w:w="8793" w:type="dxa"/>
            <w:vAlign w:val="center"/>
          </w:tcPr>
          <w:p>
            <w:pPr>
              <w:widowControl w:val="0"/>
              <w:spacing w:line="240" w:lineRule="auto"/>
              <w:jc w:val="both"/>
              <w:rPr>
                <w:rFonts w:ascii="宋体" w:hAnsi="宋体"/>
                <w:szCs w:val="21"/>
              </w:rPr>
            </w:pPr>
            <w:r>
              <w:rPr>
                <w:rFonts w:hint="eastAsia" w:ascii="宋体" w:hAnsi="宋体"/>
                <w:szCs w:val="21"/>
              </w:rPr>
              <w:t>针对本项目的质量保障措施、质量承诺优于招标要求的，得3</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针对本项目的质量保障措施、质量承诺满足招标要求的，得2</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针对本项目的质量保障措施、质量承诺不满足招标要求的，得1</w:t>
            </w:r>
            <w:r>
              <w:rPr>
                <w:rFonts w:ascii="宋体" w:hAnsi="宋体"/>
                <w:szCs w:val="21"/>
              </w:rPr>
              <w:t>分；</w:t>
            </w:r>
          </w:p>
          <w:p>
            <w:pPr>
              <w:widowControl w:val="0"/>
              <w:spacing w:line="240" w:lineRule="auto"/>
              <w:jc w:val="both"/>
              <w:rPr>
                <w:rFonts w:ascii="宋体" w:hAnsi="宋体"/>
                <w:szCs w:val="21"/>
              </w:rPr>
            </w:pPr>
            <w:r>
              <w:rPr>
                <w:rFonts w:hint="eastAsia" w:ascii="宋体" w:hAnsi="宋体"/>
                <w:szCs w:val="21"/>
              </w:rPr>
              <w:t>完全没有相关内容的，本评分项得</w:t>
            </w:r>
            <w:r>
              <w:rPr>
                <w:rFonts w:ascii="宋体" w:hAnsi="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980" w:type="dxa"/>
            <w:vMerge w:val="restart"/>
            <w:vAlign w:val="center"/>
          </w:tcPr>
          <w:p>
            <w:pPr>
              <w:spacing w:line="240" w:lineRule="auto"/>
              <w:jc w:val="center"/>
              <w:rPr>
                <w:rFonts w:ascii="宋体" w:hAnsi="宋体" w:cs="Microsoft JhengHei"/>
                <w:szCs w:val="21"/>
              </w:rPr>
            </w:pPr>
            <w:r>
              <w:rPr>
                <w:rFonts w:ascii="宋体" w:hAnsi="宋体" w:cs="Microsoft JhengHei"/>
                <w:szCs w:val="21"/>
              </w:rPr>
              <w:t>商务部分</w:t>
            </w:r>
          </w:p>
          <w:p>
            <w:pPr>
              <w:spacing w:line="240" w:lineRule="auto"/>
              <w:jc w:val="center"/>
              <w:rPr>
                <w:rFonts w:ascii="宋体" w:hAnsi="宋体" w:cs="Microsoft JhengHei"/>
                <w:szCs w:val="21"/>
              </w:rPr>
            </w:pPr>
            <w:r>
              <w:rPr>
                <w:rFonts w:hint="eastAsia" w:ascii="宋体" w:hAnsi="宋体" w:cs="Microsoft JhengHei"/>
                <w:szCs w:val="21"/>
              </w:rPr>
              <w:t>（</w:t>
            </w:r>
            <w:r>
              <w:rPr>
                <w:rFonts w:hint="eastAsia" w:ascii="宋体" w:hAnsi="宋体" w:cs="Microsoft JhengHei"/>
                <w:szCs w:val="21"/>
                <w:lang w:val="en-US" w:eastAsia="zh-CN"/>
              </w:rPr>
              <w:t>40</w:t>
            </w:r>
            <w:r>
              <w:rPr>
                <w:rFonts w:hint="eastAsia" w:ascii="宋体" w:hAnsi="宋体" w:cs="Microsoft JhengHei"/>
                <w:szCs w:val="21"/>
              </w:rPr>
              <w:t>分）</w:t>
            </w:r>
          </w:p>
        </w:tc>
        <w:tc>
          <w:tcPr>
            <w:tcW w:w="2977" w:type="dxa"/>
            <w:vAlign w:val="center"/>
          </w:tcPr>
          <w:p>
            <w:pPr>
              <w:spacing w:line="240" w:lineRule="auto"/>
              <w:jc w:val="center"/>
              <w:rPr>
                <w:rFonts w:ascii="宋体" w:hAnsi="宋体"/>
                <w:szCs w:val="21"/>
              </w:rPr>
            </w:pPr>
            <w:r>
              <w:rPr>
                <w:rFonts w:hint="eastAsia" w:ascii="宋体" w:hAnsi="宋体"/>
                <w:szCs w:val="21"/>
              </w:rPr>
              <w:t>类似项目业绩</w:t>
            </w:r>
          </w:p>
          <w:p>
            <w:pPr>
              <w:spacing w:line="240" w:lineRule="auto"/>
              <w:jc w:val="center"/>
              <w:rPr>
                <w:rFonts w:ascii="宋体" w:hAnsi="宋体" w:cs="Helvetica"/>
                <w:b/>
                <w:bCs/>
                <w:kern w:val="0"/>
                <w:szCs w:val="21"/>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p>
        </w:tc>
        <w:tc>
          <w:tcPr>
            <w:tcW w:w="8793" w:type="dxa"/>
            <w:vAlign w:val="center"/>
          </w:tcPr>
          <w:p>
            <w:pPr>
              <w:spacing w:line="240" w:lineRule="auto"/>
              <w:jc w:val="both"/>
              <w:rPr>
                <w:rFonts w:ascii="宋体" w:hAnsi="宋体"/>
                <w:color w:val="000000" w:themeColor="text1"/>
                <w:szCs w:val="21"/>
              </w:rPr>
            </w:pPr>
            <w:r>
              <w:rPr>
                <w:rFonts w:hint="eastAsia" w:ascii="宋体" w:hAnsi="宋体"/>
                <w:szCs w:val="21"/>
              </w:rPr>
              <w:t>供应商201</w:t>
            </w:r>
            <w:r>
              <w:rPr>
                <w:rFonts w:hint="eastAsia" w:ascii="宋体" w:hAnsi="宋体"/>
                <w:szCs w:val="21"/>
                <w:lang w:val="en-US" w:eastAsia="zh-CN"/>
              </w:rPr>
              <w:t>8</w:t>
            </w:r>
            <w:r>
              <w:rPr>
                <w:rFonts w:ascii="宋体" w:hAnsi="宋体"/>
                <w:szCs w:val="21"/>
              </w:rPr>
              <w:t>年1月1日至</w:t>
            </w:r>
            <w:r>
              <w:rPr>
                <w:rFonts w:hint="eastAsia" w:ascii="宋体" w:hAnsi="宋体"/>
                <w:szCs w:val="21"/>
              </w:rPr>
              <w:t>报价</w:t>
            </w:r>
            <w:r>
              <w:rPr>
                <w:rFonts w:ascii="宋体" w:hAnsi="宋体"/>
                <w:szCs w:val="21"/>
              </w:rPr>
              <w:t>文件递交截止之日止，</w:t>
            </w:r>
            <w:r>
              <w:rPr>
                <w:rFonts w:hint="eastAsia" w:ascii="宋体" w:hAnsi="宋体"/>
                <w:szCs w:val="21"/>
              </w:rPr>
              <w:t>每</w:t>
            </w:r>
            <w:r>
              <w:rPr>
                <w:rFonts w:ascii="宋体" w:hAnsi="宋体"/>
                <w:szCs w:val="21"/>
              </w:rPr>
              <w:t>独立</w:t>
            </w:r>
            <w:r>
              <w:rPr>
                <w:rFonts w:hint="eastAsia" w:ascii="宋体" w:hAnsi="宋体"/>
                <w:szCs w:val="21"/>
              </w:rPr>
              <w:t>承担1个交通运输</w:t>
            </w:r>
            <w:r>
              <w:rPr>
                <w:rFonts w:hint="eastAsia" w:ascii="宋体" w:hAnsi="宋体"/>
                <w:szCs w:val="21"/>
                <w:lang w:val="en-US" w:eastAsia="zh-CN"/>
              </w:rPr>
              <w:t>服务质量调查</w:t>
            </w:r>
            <w:r>
              <w:rPr>
                <w:rFonts w:hint="eastAsia" w:ascii="宋体" w:hAnsi="宋体"/>
                <w:szCs w:val="21"/>
              </w:rPr>
              <w:t>类似项目</w:t>
            </w:r>
            <w:r>
              <w:rPr>
                <w:rFonts w:ascii="宋体" w:hAnsi="宋体"/>
                <w:szCs w:val="21"/>
              </w:rPr>
              <w:t>，每个得</w:t>
            </w:r>
            <w:r>
              <w:rPr>
                <w:rFonts w:hint="eastAsia" w:ascii="宋体" w:hAnsi="宋体"/>
                <w:szCs w:val="21"/>
              </w:rPr>
              <w:t>5</w:t>
            </w:r>
            <w:r>
              <w:rPr>
                <w:rFonts w:ascii="宋体" w:hAnsi="宋体"/>
                <w:szCs w:val="21"/>
              </w:rPr>
              <w:t>分</w:t>
            </w:r>
            <w:r>
              <w:rPr>
                <w:rFonts w:hint="eastAsia" w:ascii="宋体" w:hAnsi="宋体"/>
                <w:szCs w:val="21"/>
              </w:rPr>
              <w:t>，最高得</w:t>
            </w:r>
            <w:r>
              <w:rPr>
                <w:rFonts w:hint="eastAsia" w:ascii="宋体" w:hAnsi="宋体"/>
                <w:szCs w:val="21"/>
                <w:lang w:val="en-US" w:eastAsia="zh-CN"/>
              </w:rPr>
              <w:t>20</w:t>
            </w:r>
            <w:r>
              <w:rPr>
                <w:rFonts w:hint="eastAsia" w:ascii="宋体" w:hAnsi="宋体"/>
                <w:szCs w:val="21"/>
              </w:rPr>
              <w:t>分</w:t>
            </w:r>
            <w:r>
              <w:rPr>
                <w:rFonts w:hint="eastAsia" w:ascii="宋体" w:hAnsi="宋体"/>
                <w:color w:val="000000" w:themeColor="text1"/>
                <w:szCs w:val="21"/>
              </w:rPr>
              <w:t>。注：需提供相关证明材料。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980" w:type="dxa"/>
            <w:vMerge w:val="continue"/>
            <w:vAlign w:val="center"/>
          </w:tcPr>
          <w:p>
            <w:pPr>
              <w:spacing w:line="240" w:lineRule="auto"/>
              <w:jc w:val="center"/>
              <w:rPr>
                <w:rFonts w:ascii="宋体" w:hAnsi="宋体" w:cs="Microsoft JhengHei"/>
                <w:szCs w:val="21"/>
              </w:rPr>
            </w:pPr>
          </w:p>
        </w:tc>
        <w:tc>
          <w:tcPr>
            <w:tcW w:w="2977" w:type="dxa"/>
            <w:vAlign w:val="center"/>
          </w:tcPr>
          <w:p>
            <w:pPr>
              <w:spacing w:line="240" w:lineRule="auto"/>
              <w:jc w:val="center"/>
              <w:rPr>
                <w:rFonts w:ascii="宋体" w:hAnsi="宋体"/>
                <w:szCs w:val="21"/>
              </w:rPr>
            </w:pPr>
            <w:r>
              <w:rPr>
                <w:rFonts w:hint="eastAsia" w:ascii="宋体" w:hAnsi="宋体"/>
                <w:szCs w:val="21"/>
              </w:rPr>
              <w:t>获奖情况</w:t>
            </w:r>
          </w:p>
          <w:p>
            <w:pPr>
              <w:spacing w:line="240" w:lineRule="auto"/>
              <w:jc w:val="center"/>
              <w:rPr>
                <w:rFonts w:ascii="宋体" w:hAnsi="宋体"/>
                <w:color w:val="000000" w:themeColor="text1"/>
                <w:szCs w:val="21"/>
              </w:rPr>
            </w:pPr>
            <w:r>
              <w:rPr>
                <w:rFonts w:hint="eastAsia" w:ascii="宋体" w:hAnsi="宋体"/>
                <w:szCs w:val="21"/>
              </w:rPr>
              <w:t>（</w:t>
            </w:r>
            <w:r>
              <w:rPr>
                <w:rFonts w:hint="eastAsia" w:ascii="宋体" w:hAnsi="宋体"/>
                <w:szCs w:val="21"/>
                <w:lang w:val="en-US" w:eastAsia="zh-CN"/>
              </w:rPr>
              <w:t>10</w:t>
            </w:r>
            <w:r>
              <w:rPr>
                <w:rFonts w:ascii="宋体" w:hAnsi="宋体"/>
                <w:szCs w:val="21"/>
              </w:rPr>
              <w:t>分</w:t>
            </w:r>
            <w:r>
              <w:rPr>
                <w:rFonts w:hint="eastAsia" w:ascii="宋体" w:hAnsi="宋体"/>
                <w:szCs w:val="21"/>
              </w:rPr>
              <w:t>）</w:t>
            </w:r>
          </w:p>
        </w:tc>
        <w:tc>
          <w:tcPr>
            <w:tcW w:w="8793" w:type="dxa"/>
            <w:vAlign w:val="center"/>
          </w:tcPr>
          <w:p>
            <w:pPr>
              <w:widowControl w:val="0"/>
              <w:spacing w:after="120" w:line="240" w:lineRule="auto"/>
              <w:jc w:val="both"/>
              <w:rPr>
                <w:rFonts w:ascii="宋体" w:hAnsi="宋体" w:cs="宋体"/>
                <w:color w:val="000000" w:themeColor="text1"/>
                <w:szCs w:val="21"/>
              </w:rPr>
            </w:pPr>
            <w:r>
              <w:rPr>
                <w:rFonts w:ascii="宋体" w:hAnsi="宋体"/>
                <w:szCs w:val="21"/>
              </w:rPr>
              <w:t>201</w:t>
            </w:r>
            <w:r>
              <w:rPr>
                <w:rFonts w:hint="eastAsia" w:ascii="宋体" w:hAnsi="宋体"/>
                <w:szCs w:val="21"/>
              </w:rPr>
              <w:t>8</w:t>
            </w:r>
            <w:r>
              <w:rPr>
                <w:rFonts w:ascii="宋体" w:hAnsi="宋体"/>
                <w:szCs w:val="21"/>
              </w:rPr>
              <w:t>年1月1日至</w:t>
            </w:r>
            <w:r>
              <w:rPr>
                <w:rFonts w:hint="eastAsia" w:ascii="宋体" w:hAnsi="宋体"/>
                <w:szCs w:val="21"/>
              </w:rPr>
              <w:t>报价</w:t>
            </w:r>
            <w:r>
              <w:rPr>
                <w:rFonts w:ascii="宋体" w:hAnsi="宋体"/>
                <w:szCs w:val="21"/>
              </w:rPr>
              <w:t>文件递交截止之日止（以获奖证书时间为准），</w:t>
            </w:r>
            <w:r>
              <w:rPr>
                <w:rFonts w:hint="eastAsia" w:ascii="宋体" w:hAnsi="宋体"/>
                <w:szCs w:val="21"/>
              </w:rPr>
              <w:t>供应商</w:t>
            </w:r>
            <w:r>
              <w:rPr>
                <w:rFonts w:ascii="宋体" w:hAnsi="宋体"/>
                <w:szCs w:val="21"/>
              </w:rPr>
              <w:t>承接的</w:t>
            </w:r>
            <w:r>
              <w:rPr>
                <w:rFonts w:hint="eastAsia" w:ascii="宋体" w:hAnsi="宋体"/>
                <w:szCs w:val="21"/>
              </w:rPr>
              <w:t>类似项目</w:t>
            </w:r>
            <w:r>
              <w:rPr>
                <w:rFonts w:ascii="宋体" w:hAnsi="宋体"/>
                <w:szCs w:val="21"/>
              </w:rPr>
              <w:t>获得政府部门、行业协会（学会）颁发的省部级奖项的，每个得</w:t>
            </w:r>
            <w:r>
              <w:rPr>
                <w:rFonts w:hint="eastAsia" w:ascii="宋体" w:hAnsi="宋体"/>
                <w:szCs w:val="21"/>
                <w:lang w:val="en-US" w:eastAsia="zh-CN"/>
              </w:rPr>
              <w:t>1</w:t>
            </w:r>
            <w:r>
              <w:rPr>
                <w:rFonts w:ascii="宋体" w:hAnsi="宋体"/>
                <w:szCs w:val="21"/>
              </w:rPr>
              <w:t>分；获得国家级奖项的，每个得</w:t>
            </w:r>
            <w:r>
              <w:rPr>
                <w:rFonts w:hint="eastAsia" w:ascii="宋体" w:hAnsi="宋体"/>
                <w:szCs w:val="21"/>
                <w:lang w:val="en-US" w:eastAsia="zh-CN"/>
              </w:rPr>
              <w:t>2</w:t>
            </w:r>
            <w:r>
              <w:rPr>
                <w:rFonts w:ascii="宋体" w:hAnsi="宋体"/>
                <w:szCs w:val="21"/>
              </w:rPr>
              <w:t>分。本项累计最多得</w:t>
            </w:r>
            <w:r>
              <w:rPr>
                <w:rFonts w:hint="eastAsia" w:ascii="宋体" w:hAnsi="宋体"/>
                <w:szCs w:val="21"/>
                <w:lang w:val="en-US" w:eastAsia="zh-CN"/>
              </w:rPr>
              <w:t>10</w:t>
            </w:r>
            <w:r>
              <w:rPr>
                <w:rFonts w:ascii="宋体" w:hAnsi="宋体"/>
                <w:szCs w:val="21"/>
              </w:rPr>
              <w:t>分。</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jc w:val="center"/>
        </w:trPr>
        <w:tc>
          <w:tcPr>
            <w:tcW w:w="1980" w:type="dxa"/>
            <w:vMerge w:val="continue"/>
            <w:vAlign w:val="center"/>
          </w:tcPr>
          <w:p>
            <w:pPr>
              <w:spacing w:line="240" w:lineRule="auto"/>
              <w:jc w:val="center"/>
              <w:rPr>
                <w:rFonts w:ascii="宋体" w:hAnsi="宋体" w:cs="Microsoft JhengHei"/>
                <w:szCs w:val="21"/>
              </w:rPr>
            </w:pPr>
          </w:p>
        </w:tc>
        <w:tc>
          <w:tcPr>
            <w:tcW w:w="2977" w:type="dxa"/>
            <w:vAlign w:val="center"/>
          </w:tcPr>
          <w:p>
            <w:pPr>
              <w:spacing w:line="240" w:lineRule="auto"/>
              <w:jc w:val="center"/>
              <w:rPr>
                <w:rFonts w:ascii="宋体" w:hAnsi="宋体"/>
                <w:szCs w:val="21"/>
              </w:rPr>
            </w:pPr>
            <w:r>
              <w:rPr>
                <w:rFonts w:hint="eastAsia" w:ascii="宋体" w:hAnsi="宋体"/>
                <w:szCs w:val="21"/>
              </w:rPr>
              <w:t>拟投入本项目的项目负责人和主要技术人员情况</w:t>
            </w:r>
          </w:p>
          <w:p>
            <w:pPr>
              <w:spacing w:line="240" w:lineRule="auto"/>
              <w:jc w:val="center"/>
              <w:rPr>
                <w:rFonts w:ascii="宋体" w:hAnsi="宋体" w:cs="Helvetica"/>
                <w:b/>
                <w:bCs/>
                <w:kern w:val="0"/>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10</w:t>
            </w:r>
            <w:r>
              <w:rPr>
                <w:rFonts w:hint="eastAsia" w:ascii="宋体" w:hAnsi="宋体"/>
                <w:color w:val="000000" w:themeColor="text1"/>
                <w:szCs w:val="21"/>
              </w:rPr>
              <w:t>分）</w:t>
            </w:r>
          </w:p>
        </w:tc>
        <w:tc>
          <w:tcPr>
            <w:tcW w:w="8793" w:type="dxa"/>
            <w:vAlign w:val="center"/>
          </w:tcPr>
          <w:p>
            <w:pPr>
              <w:spacing w:line="240" w:lineRule="auto"/>
              <w:jc w:val="both"/>
              <w:rPr>
                <w:rFonts w:ascii="宋体" w:hAnsi="宋体" w:cs="宋体"/>
                <w:szCs w:val="21"/>
              </w:rPr>
            </w:pPr>
            <w:r>
              <w:rPr>
                <w:rFonts w:hint="eastAsia" w:ascii="宋体" w:hAnsi="宋体" w:cs="宋体"/>
                <w:szCs w:val="21"/>
              </w:rPr>
              <w:t>拟投入本项目的项目负责人和主要技术人员具备以下条件的：</w:t>
            </w:r>
          </w:p>
          <w:p>
            <w:pPr>
              <w:spacing w:line="240" w:lineRule="auto"/>
              <w:jc w:val="both"/>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本项目的负责人和主要技术人员中均具有交通运输相关专业副高及以上职称的，得</w:t>
            </w:r>
            <w:r>
              <w:rPr>
                <w:rFonts w:hint="eastAsia" w:ascii="宋体" w:hAnsi="宋体" w:cs="宋体"/>
                <w:szCs w:val="21"/>
                <w:lang w:val="en-US" w:eastAsia="zh-CN"/>
              </w:rPr>
              <w:t>10</w:t>
            </w:r>
            <w:r>
              <w:rPr>
                <w:rFonts w:hint="eastAsia" w:ascii="宋体" w:hAnsi="宋体" w:cs="宋体"/>
                <w:szCs w:val="21"/>
              </w:rPr>
              <w:t>分；</w:t>
            </w:r>
          </w:p>
          <w:p>
            <w:pPr>
              <w:spacing w:line="240" w:lineRule="auto"/>
              <w:jc w:val="both"/>
              <w:rPr>
                <w:rFonts w:ascii="宋体" w:hAnsi="宋体" w:cs="宋体"/>
                <w:szCs w:val="21"/>
              </w:rPr>
            </w:pPr>
            <w:r>
              <w:rPr>
                <w:rFonts w:ascii="宋体" w:hAnsi="宋体" w:cs="宋体"/>
                <w:szCs w:val="21"/>
              </w:rPr>
              <w:t>2</w:t>
            </w:r>
            <w:r>
              <w:rPr>
                <w:rFonts w:hint="eastAsia" w:ascii="宋体" w:hAnsi="宋体" w:cs="宋体"/>
                <w:szCs w:val="21"/>
              </w:rPr>
              <w:t>.本项目的负责人或主要技术人员中具有交通运输相关专业副高职称的，得</w:t>
            </w:r>
            <w:r>
              <w:rPr>
                <w:rFonts w:hint="eastAsia" w:ascii="宋体" w:hAnsi="宋体" w:cs="宋体"/>
                <w:szCs w:val="21"/>
                <w:lang w:val="en-US" w:eastAsia="zh-CN"/>
              </w:rPr>
              <w:t>7</w:t>
            </w:r>
            <w:r>
              <w:rPr>
                <w:rFonts w:hint="eastAsia" w:ascii="宋体" w:hAnsi="宋体" w:cs="宋体"/>
                <w:szCs w:val="21"/>
              </w:rPr>
              <w:t>分；</w:t>
            </w:r>
          </w:p>
          <w:p>
            <w:pPr>
              <w:spacing w:line="240" w:lineRule="auto"/>
              <w:jc w:val="both"/>
              <w:rPr>
                <w:rFonts w:ascii="宋体" w:hAnsi="宋体" w:cs="宋体"/>
                <w:szCs w:val="21"/>
              </w:rPr>
            </w:pPr>
            <w:r>
              <w:rPr>
                <w:rFonts w:ascii="宋体" w:hAnsi="宋体" w:cs="宋体"/>
                <w:szCs w:val="21"/>
              </w:rPr>
              <w:t>3</w:t>
            </w:r>
            <w:r>
              <w:rPr>
                <w:rFonts w:hint="eastAsia" w:ascii="宋体" w:hAnsi="宋体" w:cs="宋体"/>
                <w:szCs w:val="21"/>
              </w:rPr>
              <w:t>.本项目的负责人或主要技术人员中具有交通运输相关专业中级职称的，得</w:t>
            </w:r>
            <w:r>
              <w:rPr>
                <w:rFonts w:hint="eastAsia" w:ascii="宋体" w:hAnsi="宋体" w:cs="宋体"/>
                <w:szCs w:val="21"/>
                <w:lang w:val="en-US" w:eastAsia="zh-CN"/>
              </w:rPr>
              <w:t>4</w:t>
            </w:r>
            <w:r>
              <w:rPr>
                <w:rFonts w:hint="eastAsia" w:ascii="宋体" w:hAnsi="宋体" w:cs="宋体"/>
                <w:szCs w:val="21"/>
              </w:rPr>
              <w:t>分；</w:t>
            </w:r>
          </w:p>
          <w:p>
            <w:pPr>
              <w:spacing w:line="240" w:lineRule="auto"/>
              <w:jc w:val="both"/>
              <w:rPr>
                <w:rFonts w:ascii="宋体" w:hAnsi="宋体" w:cs="宋体"/>
                <w:szCs w:val="21"/>
              </w:rPr>
            </w:pPr>
            <w:r>
              <w:rPr>
                <w:rFonts w:ascii="宋体" w:hAnsi="宋体" w:cs="宋体"/>
                <w:szCs w:val="21"/>
              </w:rPr>
              <w:t>4</w:t>
            </w:r>
            <w:r>
              <w:rPr>
                <w:rFonts w:hint="eastAsia" w:ascii="宋体" w:hAnsi="宋体" w:cs="宋体"/>
                <w:szCs w:val="21"/>
              </w:rPr>
              <w:t>.本项目的负责人或主要技术人员中具有类似项目从业经历的，得</w:t>
            </w:r>
            <w:r>
              <w:rPr>
                <w:rFonts w:hint="eastAsia" w:ascii="宋体" w:hAnsi="宋体" w:cs="宋体"/>
                <w:szCs w:val="21"/>
                <w:lang w:val="en-US" w:eastAsia="zh-CN"/>
              </w:rPr>
              <w:t>2</w:t>
            </w:r>
            <w:r>
              <w:rPr>
                <w:rFonts w:hint="eastAsia" w:ascii="宋体" w:hAnsi="宋体" w:cs="宋体"/>
                <w:szCs w:val="21"/>
              </w:rPr>
              <w:t>分。</w:t>
            </w:r>
          </w:p>
          <w:p>
            <w:pPr>
              <w:spacing w:line="240" w:lineRule="auto"/>
              <w:jc w:val="both"/>
              <w:rPr>
                <w:rFonts w:ascii="宋体" w:hAnsi="宋体"/>
                <w:szCs w:val="21"/>
              </w:rPr>
            </w:pPr>
            <w:r>
              <w:rPr>
                <w:rFonts w:hint="eastAsia" w:ascii="宋体" w:hAnsi="宋体" w:cs="宋体"/>
                <w:color w:val="000000" w:themeColor="text1"/>
                <w:szCs w:val="21"/>
              </w:rPr>
              <w:t>最高得5分，</w:t>
            </w:r>
            <w:r>
              <w:rPr>
                <w:rFonts w:hint="eastAsia" w:ascii="宋体" w:hAnsi="宋体" w:cs="宋体"/>
                <w:szCs w:val="21"/>
              </w:rPr>
              <w:t>注：须提供职称证明材料，不提供不得分。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980" w:type="dxa"/>
            <w:vAlign w:val="center"/>
          </w:tcPr>
          <w:p>
            <w:pPr>
              <w:spacing w:line="240" w:lineRule="auto"/>
              <w:jc w:val="center"/>
              <w:rPr>
                <w:rFonts w:ascii="宋体" w:hAnsi="宋体" w:cs="Microsoft JhengHei"/>
                <w:szCs w:val="21"/>
              </w:rPr>
            </w:pPr>
            <w:r>
              <w:rPr>
                <w:rFonts w:hint="eastAsia" w:ascii="宋体" w:hAnsi="宋体" w:cs="Microsoft JhengHei"/>
                <w:szCs w:val="21"/>
              </w:rPr>
              <w:t>价格部分</w:t>
            </w:r>
          </w:p>
        </w:tc>
        <w:tc>
          <w:tcPr>
            <w:tcW w:w="2977" w:type="dxa"/>
            <w:vAlign w:val="center"/>
          </w:tcPr>
          <w:p>
            <w:pPr>
              <w:spacing w:line="240" w:lineRule="auto"/>
              <w:jc w:val="center"/>
              <w:rPr>
                <w:rFonts w:ascii="宋体" w:hAnsi="宋体" w:cs="Microsoft JhengHei"/>
                <w:szCs w:val="21"/>
              </w:rPr>
            </w:pPr>
            <w:r>
              <w:rPr>
                <w:rFonts w:hint="eastAsia" w:ascii="宋体" w:hAnsi="宋体" w:cs="Microsoft JhengHei"/>
                <w:szCs w:val="21"/>
              </w:rPr>
              <w:t>价格</w:t>
            </w:r>
            <w:r>
              <w:rPr>
                <w:rFonts w:ascii="宋体" w:hAnsi="宋体" w:cs="Microsoft JhengHei"/>
                <w:szCs w:val="21"/>
              </w:rPr>
              <w:t>得分</w:t>
            </w:r>
          </w:p>
          <w:p>
            <w:pPr>
              <w:spacing w:line="240" w:lineRule="auto"/>
              <w:jc w:val="center"/>
              <w:rPr>
                <w:rFonts w:ascii="宋体" w:hAnsi="宋体"/>
                <w:szCs w:val="21"/>
              </w:rPr>
            </w:pPr>
            <w:r>
              <w:rPr>
                <w:rFonts w:hint="eastAsia" w:ascii="宋体" w:hAnsi="宋体" w:cs="Microsoft JhengHei"/>
                <w:szCs w:val="21"/>
              </w:rPr>
              <w:t>（10分）</w:t>
            </w:r>
          </w:p>
        </w:tc>
        <w:tc>
          <w:tcPr>
            <w:tcW w:w="8793" w:type="dxa"/>
            <w:vAlign w:val="center"/>
          </w:tcPr>
          <w:p>
            <w:pPr>
              <w:widowControl w:val="0"/>
              <w:spacing w:line="240" w:lineRule="auto"/>
              <w:jc w:val="both"/>
              <w:rPr>
                <w:rFonts w:ascii="宋体" w:hAnsi="宋体" w:cs="宋体"/>
                <w:szCs w:val="21"/>
              </w:rPr>
            </w:pPr>
            <w:r>
              <w:rPr>
                <w:rFonts w:hint="eastAsia" w:ascii="宋体" w:hAnsi="宋体" w:cs="宋体"/>
                <w:szCs w:val="21"/>
              </w:rPr>
              <w:t>价格</w:t>
            </w:r>
            <w:r>
              <w:rPr>
                <w:rFonts w:ascii="宋体" w:hAnsi="宋体" w:cs="宋体"/>
                <w:szCs w:val="21"/>
              </w:rPr>
              <w:t>得分=</w:t>
            </w:r>
            <w:r>
              <w:rPr>
                <w:rFonts w:hint="eastAsia" w:ascii="宋体" w:hAnsi="宋体" w:cs="宋体"/>
                <w:szCs w:val="21"/>
              </w:rPr>
              <w:t>（基准价/报价）*价格评分权重。</w:t>
            </w:r>
          </w:p>
          <w:p>
            <w:pPr>
              <w:widowControl w:val="0"/>
              <w:spacing w:after="120" w:line="240" w:lineRule="auto"/>
              <w:ind w:left="420" w:leftChars="200"/>
              <w:jc w:val="both"/>
              <w:rPr>
                <w:rFonts w:ascii="宋体" w:hAnsi="宋体" w:cs="宋体"/>
                <w:szCs w:val="21"/>
              </w:rPr>
            </w:pPr>
            <w:r>
              <w:rPr>
                <w:rFonts w:hint="eastAsia" w:ascii="宋体" w:hAnsi="宋体" w:cs="宋体"/>
                <w:szCs w:val="21"/>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980" w:type="dxa"/>
            <w:vAlign w:val="center"/>
          </w:tcPr>
          <w:p>
            <w:pPr>
              <w:spacing w:line="240" w:lineRule="auto"/>
              <w:jc w:val="center"/>
              <w:rPr>
                <w:rFonts w:ascii="宋体" w:hAnsi="宋体" w:cs="Microsoft JhengHei"/>
                <w:szCs w:val="21"/>
              </w:rPr>
            </w:pPr>
            <w:r>
              <w:rPr>
                <w:rFonts w:hint="eastAsia" w:ascii="宋体" w:hAnsi="宋体" w:cs="Microsoft JhengHei"/>
                <w:szCs w:val="21"/>
              </w:rPr>
              <w:t>总分</w:t>
            </w:r>
          </w:p>
        </w:tc>
        <w:tc>
          <w:tcPr>
            <w:tcW w:w="2977" w:type="dxa"/>
            <w:vAlign w:val="center"/>
          </w:tcPr>
          <w:p>
            <w:pPr>
              <w:spacing w:line="240" w:lineRule="auto"/>
              <w:jc w:val="center"/>
              <w:rPr>
                <w:rFonts w:ascii="宋体" w:hAnsi="宋体" w:cs="Microsoft JhengHei"/>
                <w:szCs w:val="21"/>
              </w:rPr>
            </w:pPr>
            <w:r>
              <w:rPr>
                <w:rFonts w:hint="eastAsia" w:ascii="宋体" w:hAnsi="宋体" w:cs="Microsoft JhengHei"/>
                <w:szCs w:val="21"/>
              </w:rPr>
              <w:t>100分</w:t>
            </w:r>
          </w:p>
        </w:tc>
        <w:tc>
          <w:tcPr>
            <w:tcW w:w="8793" w:type="dxa"/>
            <w:vAlign w:val="center"/>
          </w:tcPr>
          <w:p>
            <w:pPr>
              <w:widowControl w:val="0"/>
              <w:spacing w:line="240" w:lineRule="auto"/>
              <w:jc w:val="both"/>
              <w:rPr>
                <w:rFonts w:ascii="宋体" w:hAnsi="宋体" w:cs="宋体"/>
                <w:szCs w:val="21"/>
              </w:rPr>
            </w:pPr>
          </w:p>
        </w:tc>
      </w:tr>
    </w:tbl>
    <w:p>
      <w:pPr>
        <w:jc w:val="both"/>
        <w:rPr>
          <w:rFonts w:ascii="仿宋_GB2312" w:eastAsia="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4NjQ2NmI5ZDk5ZmZhMThmZjFkYjM5ZDE0NDk5NjkifQ=="/>
  </w:docVars>
  <w:rsids>
    <w:rsidRoot w:val="592F6400"/>
    <w:rsid w:val="003B5B8C"/>
    <w:rsid w:val="006A1C81"/>
    <w:rsid w:val="00703772"/>
    <w:rsid w:val="00B76E33"/>
    <w:rsid w:val="00D663CE"/>
    <w:rsid w:val="00EC273B"/>
    <w:rsid w:val="06731C9E"/>
    <w:rsid w:val="354A634C"/>
    <w:rsid w:val="503840C7"/>
    <w:rsid w:val="592F6400"/>
    <w:rsid w:val="73B57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200" w:firstLine="200"/>
    </w:pPr>
  </w:style>
  <w:style w:type="paragraph" w:styleId="3">
    <w:name w:val="Body Text Indent"/>
    <w:basedOn w:val="1"/>
    <w:qFormat/>
    <w:uiPriority w:val="0"/>
    <w:pPr>
      <w:ind w:firstLine="830" w:firstLineChars="352"/>
    </w:pPr>
    <w:rPr>
      <w:rFonts w:ascii="仿宋_GB2312" w:eastAsia="仿宋_GB2312"/>
      <w:kern w:val="0"/>
      <w:sz w:val="32"/>
    </w:rPr>
  </w:style>
  <w:style w:type="paragraph" w:styleId="4">
    <w:name w:val="footer"/>
    <w:basedOn w:val="1"/>
    <w:link w:val="10"/>
    <w:qFormat/>
    <w:uiPriority w:val="0"/>
    <w:pPr>
      <w:tabs>
        <w:tab w:val="center" w:pos="4153"/>
        <w:tab w:val="right" w:pos="8306"/>
      </w:tabs>
      <w:snapToGrid w:val="0"/>
      <w:spacing w:line="240" w:lineRule="atLeas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customStyle="1" w:styleId="8">
    <w:name w:val="网格型1"/>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imes New Roman" w:hAnsi="Times New Roman" w:eastAsia="宋体" w:cs="Times New Roman"/>
      <w:kern w:val="2"/>
      <w:sz w:val="18"/>
      <w:szCs w:val="18"/>
    </w:rPr>
  </w:style>
  <w:style w:type="character" w:customStyle="1" w:styleId="10">
    <w:name w:val="页脚 Char"/>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1283</Words>
  <Characters>1303</Characters>
  <Lines>9</Lines>
  <Paragraphs>2</Paragraphs>
  <TotalTime>3</TotalTime>
  <ScaleCrop>false</ScaleCrop>
  <LinksUpToDate>false</LinksUpToDate>
  <CharactersWithSpaces>1306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2022-07-20T00:06:00Z</dcterms:created>
  <dc:creator>liuch</dc:creator>
  <cp:lastModifiedBy>饶有颂</cp:lastModifiedBy>
  <dcterms:modified xsi:type="dcterms:W3CDTF">2022-10-13T06:20:46Z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D97909D2B31B4217858DDD4BA4ABEC4C</vt:lpwstr>
  </property>
</Properties>
</file>