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r>
        <w:rPr>
          <w:rFonts w:hint="eastAsia" w:ascii="黑体" w:hAnsi="黑体" w:eastAsia="黑体"/>
          <w:sz w:val="32"/>
          <w:szCs w:val="32"/>
          <w:lang w:val="en-US" w:eastAsia="zh-CN"/>
        </w:rPr>
        <w:t xml:space="preserve">              </w:t>
      </w:r>
      <w:r>
        <w:rPr>
          <w:rFonts w:hint="eastAsia" w:ascii="黑体" w:hAnsi="黑体" w:eastAsia="黑体"/>
          <w:sz w:val="32"/>
          <w:szCs w:val="32"/>
        </w:rPr>
        <w:t>广东省城乡客运一体化示范城市创建验收评分细则</w:t>
      </w:r>
    </w:p>
    <w:p>
      <w:pPr>
        <w:jc w:val="center"/>
        <w:rPr>
          <w:rFonts w:ascii="黑体" w:hAnsi="黑体" w:eastAsia="黑体"/>
          <w:sz w:val="32"/>
          <w:szCs w:val="32"/>
        </w:rPr>
      </w:pPr>
      <w:r>
        <w:rPr>
          <w:rFonts w:hint="eastAsia" w:ascii="黑体" w:hAnsi="黑体" w:eastAsia="黑体"/>
          <w:sz w:val="32"/>
          <w:szCs w:val="32"/>
        </w:rPr>
        <w:t>（潮州市）</w:t>
      </w:r>
    </w:p>
    <w:tbl>
      <w:tblPr>
        <w:tblStyle w:val="10"/>
        <w:tblW w:w="155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24"/>
        <w:gridCol w:w="201"/>
        <w:gridCol w:w="149"/>
        <w:gridCol w:w="1161"/>
        <w:gridCol w:w="651"/>
        <w:gridCol w:w="2535"/>
        <w:gridCol w:w="4240"/>
        <w:gridCol w:w="2821"/>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5542" w:type="dxa"/>
            <w:gridSpan w:val="10"/>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left"/>
              <w:rPr>
                <w:rFonts w:ascii="仿宋" w:hAnsi="仿宋" w:eastAsia="仿宋"/>
                <w:b/>
                <w:szCs w:val="21"/>
              </w:rPr>
            </w:pPr>
            <w:r>
              <w:rPr>
                <w:rFonts w:hint="eastAsia" w:ascii="仿宋" w:hAnsi="仿宋" w:eastAsia="仿宋"/>
                <w:b/>
                <w:szCs w:val="21"/>
              </w:rPr>
              <w:t>一、创建目标完成情况（满分500分）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序号</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创建目标</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考核</w:t>
            </w:r>
          </w:p>
          <w:p>
            <w:pPr>
              <w:jc w:val="center"/>
              <w:rPr>
                <w:rFonts w:ascii="仿宋" w:hAnsi="仿宋" w:eastAsia="仿宋"/>
                <w:b/>
                <w:szCs w:val="21"/>
              </w:rPr>
            </w:pPr>
            <w:r>
              <w:rPr>
                <w:rFonts w:hint="eastAsia" w:ascii="仿宋" w:hAnsi="仿宋" w:eastAsia="仿宋"/>
                <w:b/>
                <w:szCs w:val="21"/>
              </w:rPr>
              <w:t>目标</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满分</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计分标准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测评方案</w:t>
            </w:r>
          </w:p>
        </w:tc>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1.1</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中心城区公共交通占机动化出行分担率（%）</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≥35</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50</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（1）达到目标值的，得50分；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（2）达到目标值80%的，得40分；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（3）达到目标值60%的，30分；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（4）未达到目标值60%的，不得分。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22"/>
                <w:szCs w:val="21"/>
              </w:rPr>
              <w:object>
                <v:shape id="_x0000_i1069" o:spt="75" type="#_x0000_t75" style="height:27.75pt;width:280.5pt;" o:ole="t" filled="f" o:preferrelative="t" stroked="f" coordsize="21600,21600">
                  <v:path/>
                  <v:fill on="f" focussize="0,0"/>
                  <v:stroke on="f" joinstyle="miter"/>
                  <v:imagedata r:id="rId5" o:title=""/>
                  <o:lock v:ext="edit" aspectratio="t"/>
                  <w10:wrap type="none"/>
                  <w10:anchorlock/>
                </v:shape>
                <o:OLEObject Type="Embed" ProgID="Equation.DSMT4" ShapeID="_x0000_i1069" DrawAspect="Content" ObjectID="_1468075725" r:id="rId4">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①第三方评估。</w:t>
            </w:r>
          </w:p>
          <w:p>
            <w:pPr>
              <w:snapToGrid w:val="0"/>
              <w:ind w:left="420" w:leftChars="200"/>
              <w:jc w:val="left"/>
              <w:rPr>
                <w:rFonts w:ascii="仿宋" w:hAnsi="仿宋" w:eastAsia="仿宋"/>
                <w:color w:val="000000" w:themeColor="text1"/>
                <w:szCs w:val="21"/>
              </w:rPr>
            </w:pPr>
            <w:r>
              <w:rPr>
                <w:rFonts w:hint="eastAsia" w:ascii="仿宋" w:hAnsi="仿宋" w:eastAsia="仿宋"/>
                <w:szCs w:val="21"/>
              </w:rPr>
              <w:t>②材料核查。</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以厅报送省政府的考核结果为准。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1.2</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万人公共交通车辆拥有量年均增长率（%）</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≥25</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50</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（1）达到目标值的，得50分；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（2）达到目标值的90%及以上，得40分；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（3）达到目标值的80%及以上，得30分；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（4）未达到目标值的80%的，不得分。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38"/>
                <w:szCs w:val="21"/>
              </w:rPr>
              <w:object>
                <v:shape id="_x0000_i1070" o:spt="75" type="#_x0000_t75" style="height:42pt;width:220.5pt;" o:ole="t" filled="f" o:preferrelative="t" stroked="f" coordsize="21600,21600">
                  <v:path/>
                  <v:fill on="f" focussize="0,0"/>
                  <v:stroke on="f" joinstyle="miter"/>
                  <v:imagedata r:id="rId7" o:title=""/>
                  <o:lock v:ext="edit" aspectratio="t"/>
                  <w10:wrap type="none"/>
                  <w10:anchorlock/>
                </v:shape>
                <o:OLEObject Type="Embed" ProgID="Equation.DSMT4" ShapeID="_x0000_i1070" DrawAspect="Content" ObjectID="_1468075726" r:id="rId6">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其中：</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22"/>
                <w:szCs w:val="21"/>
              </w:rPr>
              <w:object>
                <v:shape id="_x0000_i1071" o:spt="75" type="#_x0000_t75" style="height:27.75pt;width:200.25pt;" o:ole="t" filled="f" o:preferrelative="t" stroked="f" coordsize="21600,21600">
                  <v:path/>
                  <v:fill on="f" focussize="0,0"/>
                  <v:stroke on="f" joinstyle="miter"/>
                  <v:imagedata r:id="rId9" o:title=""/>
                  <o:lock v:ext="edit" aspectratio="t"/>
                  <w10:wrap type="none"/>
                  <w10:anchorlock/>
                </v:shape>
                <o:OLEObject Type="Embed" ProgID="Equation.DSMT4" ShapeID="_x0000_i1071" DrawAspect="Content" ObjectID="_1468075727" r:id="rId8">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①厅系统查验。</w:t>
            </w:r>
          </w:p>
          <w:p>
            <w:pPr>
              <w:snapToGrid w:val="0"/>
              <w:ind w:left="420" w:leftChars="200"/>
              <w:jc w:val="left"/>
              <w:rPr>
                <w:rFonts w:ascii="仿宋" w:hAnsi="仿宋" w:eastAsia="仿宋"/>
                <w:color w:val="000000" w:themeColor="text1"/>
                <w:szCs w:val="21"/>
              </w:rPr>
            </w:pPr>
            <w:r>
              <w:rPr>
                <w:rFonts w:hint="eastAsia" w:ascii="仿宋" w:hAnsi="仿宋" w:eastAsia="仿宋"/>
                <w:szCs w:val="21"/>
              </w:rPr>
              <w:t>②材料核查。</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FF0000"/>
                <w:szCs w:val="21"/>
              </w:rPr>
            </w:pPr>
            <w:r>
              <w:rPr>
                <w:rFonts w:hint="eastAsia" w:ascii="仿宋" w:hAnsi="仿宋" w:eastAsia="仿宋"/>
                <w:color w:val="000000" w:themeColor="text1"/>
                <w:szCs w:val="21"/>
              </w:rPr>
              <w:t>（1）提供创建期初和创建期末</w:t>
            </w:r>
            <w:r>
              <w:rPr>
                <w:rFonts w:hint="eastAsia" w:ascii="仿宋" w:hAnsi="仿宋" w:eastAsia="仿宋"/>
                <w:szCs w:val="21"/>
              </w:rPr>
              <w:t>城市中心城区公共交通车辆标台总数，城市公共汽电车车辆数据应与省综合运输管理信息平台数据一致；</w:t>
            </w:r>
          </w:p>
          <w:p>
            <w:pPr>
              <w:snapToGrid w:val="0"/>
              <w:rPr>
                <w:rFonts w:ascii="仿宋" w:hAnsi="仿宋" w:eastAsia="仿宋"/>
                <w:color w:val="000000" w:themeColor="text1"/>
                <w:szCs w:val="21"/>
              </w:rPr>
            </w:pPr>
            <w:r>
              <w:rPr>
                <w:rFonts w:hint="eastAsia" w:ascii="仿宋" w:hAnsi="仿宋" w:eastAsia="仿宋"/>
                <w:color w:val="000000" w:themeColor="text1"/>
                <w:szCs w:val="21"/>
              </w:rPr>
              <w:t>（2）提供创建期初和创建期末城市有关部门出具的中心城区常住人口数。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1.3</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公共交通站点500 米覆盖率（%）</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≥90</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50</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（1）达到目标值的，得50分；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（2）达到目标值的90%及以上，得40分；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（3）达到目标值的80%及以上，得30分；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（4）未达到目标值的80%的，不得分。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22"/>
                <w:szCs w:val="21"/>
              </w:rPr>
              <w:object>
                <v:shape id="_x0000_i1072" o:spt="75" type="#_x0000_t75" style="height:27.75pt;width:272.25pt;" o:ole="t" filled="f" o:preferrelative="t" stroked="f" coordsize="21600,21600">
                  <v:path/>
                  <v:fill on="f" focussize="0,0"/>
                  <v:stroke on="f" joinstyle="miter"/>
                  <v:imagedata r:id="rId11" o:title=""/>
                  <o:lock v:ext="edit" aspectratio="t"/>
                  <w10:wrap type="none"/>
                  <w10:anchorlock/>
                </v:shape>
                <o:OLEObject Type="Embed" ProgID="Equation.DSMT4" ShapeID="_x0000_i1072" DrawAspect="Content" ObjectID="_1468075728" r:id="rId10">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ind w:left="420" w:leftChars="200"/>
              <w:jc w:val="left"/>
              <w:rPr>
                <w:rFonts w:ascii="仿宋" w:hAnsi="仿宋" w:eastAsia="仿宋"/>
                <w:color w:val="000000" w:themeColor="text1"/>
                <w:szCs w:val="21"/>
              </w:rPr>
            </w:pPr>
            <w:r>
              <w:rPr>
                <w:rFonts w:hint="eastAsia" w:ascii="仿宋" w:hAnsi="仿宋" w:eastAsia="仿宋"/>
                <w:color w:val="000000" w:themeColor="text1"/>
                <w:szCs w:val="21"/>
              </w:rPr>
              <w:t>材料核查。</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（1）提供城市交通运输主管部门出具的公共交通站点500米半径覆盖面积的证明材料；</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（2）提供城市有关部门出具的中心城区建成区面积及相关规划等证明材料；</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（3）提供不适宜设置公共交通站点的区域面积及相关证明材料，扣除的面积包括大于1平方千米的大型水域、公园景区、绿地、学校、军事区域等。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1.4</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中心城区公交平均运行速度（km/h）</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≥20</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20</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（1）达到目标值的，得20分；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（2）达到目标值的90%及以上，得16分；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（3）达到目标值的80%及以上，得12分；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（4）未达到目标值的80%的，不得分。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22"/>
                <w:szCs w:val="21"/>
              </w:rPr>
              <w:object>
                <v:shape id="_x0000_i1073" o:spt="75" type="#_x0000_t75" style="height:27.75pt;width:253.5pt;" o:ole="t" filled="f" o:preferrelative="t" stroked="f" coordsize="21600,21600">
                  <v:path/>
                  <v:fill on="f" focussize="0,0"/>
                  <v:stroke on="f" joinstyle="miter"/>
                  <v:imagedata r:id="rId13" o:title=""/>
                  <o:lock v:ext="edit" aspectratio="t"/>
                  <w10:wrap type="none"/>
                  <w10:anchorlock/>
                </v:shape>
                <o:OLEObject Type="Embed" ProgID="Equation.DSMT4" ShapeID="_x0000_i1073" DrawAspect="Content" ObjectID="_1468075729" r:id="rId12">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ind w:firstLine="420" w:firstLineChars="200"/>
              <w:jc w:val="left"/>
              <w:rPr>
                <w:rFonts w:ascii="仿宋" w:hAnsi="仿宋" w:eastAsia="仿宋"/>
                <w:color w:val="000000" w:themeColor="text1"/>
                <w:szCs w:val="21"/>
              </w:rPr>
            </w:pPr>
            <w:r>
              <w:rPr>
                <w:rFonts w:hint="eastAsia" w:ascii="仿宋" w:hAnsi="仿宋" w:eastAsia="仿宋"/>
                <w:color w:val="000000" w:themeColor="text1"/>
                <w:szCs w:val="21"/>
              </w:rPr>
              <w:t>材料核查。</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提供公交智能化调度系统统计的2019年度5月份中心城区全天公交班次运营里程、班次运营时间和班次总数的证明材料。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1.5</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szCs w:val="21"/>
              </w:rPr>
              <w:t>市域</w:t>
            </w:r>
            <w:r>
              <w:rPr>
                <w:rFonts w:hint="eastAsia" w:ascii="仿宋" w:hAnsi="仿宋" w:eastAsia="仿宋"/>
                <w:color w:val="000000" w:themeColor="text1"/>
                <w:szCs w:val="21"/>
              </w:rPr>
              <w:t>公交平均运行速度（km/h）</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≥25</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30</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（1）达到目标值的，得30分；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（2）达到目标值的90%及以上，得24分；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（3）达到目标值的80%及以上，得18分；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（4）未达到目标值的80%的，不得分。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20"/>
                <w:szCs w:val="21"/>
              </w:rPr>
              <w:object>
                <v:shape id="_x0000_i1074" o:spt="75" type="#_x0000_t75" style="height:24.75pt;width:218.25pt;" o:ole="t" filled="f" o:preferrelative="t" stroked="f" coordsize="21600,21600">
                  <v:path/>
                  <v:fill on="f" focussize="0,0"/>
                  <v:stroke on="f" joinstyle="miter"/>
                  <v:imagedata r:id="rId15" o:title=""/>
                  <o:lock v:ext="edit" aspectratio="t"/>
                  <w10:wrap type="none"/>
                  <w10:anchorlock/>
                </v:shape>
                <o:OLEObject Type="Embed" ProgID="Equation.DSMT4" ShapeID="_x0000_i1074" DrawAspect="Content" ObjectID="_1468075730" r:id="rId14">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ind w:firstLine="420" w:firstLineChars="200"/>
              <w:jc w:val="left"/>
              <w:rPr>
                <w:rFonts w:ascii="仿宋" w:hAnsi="仿宋" w:eastAsia="仿宋"/>
                <w:color w:val="000000" w:themeColor="text1"/>
                <w:szCs w:val="21"/>
              </w:rPr>
            </w:pPr>
            <w:r>
              <w:rPr>
                <w:rFonts w:hint="eastAsia" w:ascii="仿宋" w:hAnsi="仿宋" w:eastAsia="仿宋"/>
                <w:color w:val="000000" w:themeColor="text1"/>
                <w:szCs w:val="21"/>
              </w:rPr>
              <w:t>材料核查。</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szCs w:val="21"/>
              </w:rPr>
              <w:t>提供公交智能化调度系统统计的2019年度5月份市域全天公交班次运营里程、班次运营时间和班次总数的证明材料。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1.6</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新能源公交车辆占公交总体规模的比例（%）</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≥50</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30</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（1）达到目标值的，得30分；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（2）达到目标值的90%及以上，得24分；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（3）达到目标值的80%及以上，得18分；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（4）未达到目标值的80%的，不得分。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22"/>
                <w:szCs w:val="21"/>
              </w:rPr>
              <w:object>
                <v:shape id="_x0000_i1075" o:spt="75" type="#_x0000_t75" style="height:27.75pt;width:282.75pt;" o:ole="t" filled="f" o:preferrelative="t" stroked="f" coordsize="21600,21600">
                  <v:path/>
                  <v:fill on="f" focussize="0,0"/>
                  <v:stroke on="f" joinstyle="miter"/>
                  <v:imagedata r:id="rId17" o:title=""/>
                  <o:lock v:ext="edit" aspectratio="t"/>
                  <w10:wrap type="none"/>
                  <w10:anchorlock/>
                </v:shape>
                <o:OLEObject Type="Embed" ProgID="Equation.DSMT4" ShapeID="_x0000_i1075" DrawAspect="Content" ObjectID="_1468075731" r:id="rId16">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①厅系统查验。</w:t>
            </w:r>
          </w:p>
          <w:p>
            <w:pPr>
              <w:snapToGrid w:val="0"/>
              <w:ind w:firstLine="420" w:firstLineChars="200"/>
              <w:jc w:val="left"/>
              <w:rPr>
                <w:rFonts w:ascii="仿宋" w:hAnsi="仿宋" w:eastAsia="仿宋"/>
                <w:color w:val="000000" w:themeColor="text1"/>
                <w:szCs w:val="21"/>
              </w:rPr>
            </w:pPr>
            <w:r>
              <w:rPr>
                <w:rFonts w:hint="eastAsia" w:ascii="仿宋" w:hAnsi="仿宋" w:eastAsia="仿宋"/>
                <w:szCs w:val="21"/>
              </w:rPr>
              <w:t>②材料核查。</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szCs w:val="21"/>
              </w:rPr>
              <w:t>提供</w:t>
            </w:r>
            <w:r>
              <w:rPr>
                <w:rFonts w:hint="eastAsia" w:ascii="仿宋" w:hAnsi="仿宋" w:eastAsia="仿宋"/>
                <w:color w:val="000000" w:themeColor="text1"/>
                <w:szCs w:val="21"/>
              </w:rPr>
              <w:t>2019年5月底</w:t>
            </w:r>
            <w:r>
              <w:rPr>
                <w:rFonts w:hint="eastAsia" w:ascii="仿宋" w:hAnsi="仿宋" w:eastAsia="仿宋"/>
                <w:szCs w:val="21"/>
              </w:rPr>
              <w:t>不同燃料类型公共汽电车车辆总数及标台数，应与省综合运输管理信息平台数据一致。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1.7</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岭南通公交IC卡</w:t>
            </w:r>
          </w:p>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在城乡公交车辆的覆盖率（%）</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100</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30</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（1）达到目标值的，得30分；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（2）达到目标值的90%及以上，得24分；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（3）达到目标值的80%及以上，得18分；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（4）未达到目标值的80%的，不得分。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36"/>
                <w:szCs w:val="21"/>
              </w:rPr>
              <w:object>
                <v:shape id="_x0000_i1076" o:spt="75" type="#_x0000_t75" style="height:39.75pt;width:236.25pt;" o:ole="t" filled="f" o:preferrelative="t" stroked="f" coordsize="21600,21600">
                  <v:path/>
                  <v:fill on="f" focussize="0,0"/>
                  <v:stroke on="f" joinstyle="miter"/>
                  <v:imagedata r:id="rId19" o:title=""/>
                  <o:lock v:ext="edit" aspectratio="t"/>
                  <w10:wrap type="none"/>
                  <w10:anchorlock/>
                </v:shape>
                <o:OLEObject Type="Embed" ProgID="Equation.DSMT4" ShapeID="_x0000_i1076" DrawAspect="Content" ObjectID="_1468075732" r:id="rId18">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其中：</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6"/>
                <w:szCs w:val="21"/>
              </w:rPr>
              <w:object>
                <v:shape id="_x0000_i1077" o:spt="75" type="#_x0000_t75" style="height:12.75pt;width:310.5pt;" o:ole="t" filled="f" o:preferrelative="t" stroked="f" coordsize="21600,21600">
                  <v:path/>
                  <v:fill on="f" focussize="0,0"/>
                  <v:stroke on="f" joinstyle="miter"/>
                  <v:imagedata r:id="rId21" o:title=""/>
                  <o:lock v:ext="edit" aspectratio="t"/>
                  <w10:wrap type="none"/>
                  <w10:anchorlock/>
                </v:shape>
                <o:OLEObject Type="Embed" ProgID="Equation.DSMT4" ShapeID="_x0000_i1077" DrawAspect="Content" ObjectID="_1468075733" r:id="rId20">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①厅系统查验。</w:t>
            </w:r>
          </w:p>
          <w:p>
            <w:pPr>
              <w:snapToGrid w:val="0"/>
              <w:ind w:left="420" w:leftChars="200"/>
              <w:jc w:val="left"/>
              <w:rPr>
                <w:rFonts w:ascii="仿宋" w:hAnsi="仿宋" w:eastAsia="仿宋"/>
                <w:color w:val="000000" w:themeColor="text1"/>
                <w:szCs w:val="21"/>
              </w:rPr>
            </w:pPr>
            <w:r>
              <w:rPr>
                <w:rFonts w:hint="eastAsia" w:ascii="仿宋" w:hAnsi="仿宋" w:eastAsia="仿宋"/>
                <w:szCs w:val="21"/>
              </w:rPr>
              <w:t>②材料核查。</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城市交通运输主管部门提供2019年5月底安装使用岭南通公交IC卡的城乡公交车辆（城市公交和公交化运营的农村客运车辆）数据以及城乡公交车辆总数，</w:t>
            </w:r>
            <w:r>
              <w:rPr>
                <w:rFonts w:hint="eastAsia" w:ascii="仿宋" w:hAnsi="仿宋" w:eastAsia="仿宋"/>
                <w:szCs w:val="21"/>
              </w:rPr>
              <w:t>相关数据应与省岭南通公司数据保持一致。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1.8</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具备通客运条件的500人以上自然村客运通达率（%）</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100</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20</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（1）达到目标值的，得20分；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（2）达到目标值的90%及以上，得16分；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（3）达到目标值的80%及以上，得12分；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（4）未达到目标值的80%的，不得分。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36"/>
                <w:szCs w:val="21"/>
              </w:rPr>
              <w:object>
                <v:shape id="_x0000_i1078" o:spt="75" type="#_x0000_t75" style="height:39.75pt;width:258pt;" o:ole="t" filled="f" o:preferrelative="t" stroked="f" coordsize="21600,21600">
                  <v:path/>
                  <v:fill on="f" focussize="0,0"/>
                  <v:stroke on="f" joinstyle="miter"/>
                  <v:imagedata r:id="rId23" o:title=""/>
                  <o:lock v:ext="edit" aspectratio="t"/>
                  <w10:wrap type="none"/>
                  <w10:anchorlock/>
                </v:shape>
                <o:OLEObject Type="Embed" ProgID="Equation.DSMT4" ShapeID="_x0000_i1078" DrawAspect="Content" ObjectID="_1468075734" r:id="rId22">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ind w:firstLine="420" w:firstLineChars="200"/>
              <w:jc w:val="left"/>
              <w:rPr>
                <w:rFonts w:ascii="仿宋" w:hAnsi="仿宋" w:eastAsia="仿宋"/>
                <w:color w:val="000000" w:themeColor="text1"/>
                <w:szCs w:val="21"/>
              </w:rPr>
            </w:pPr>
            <w:r>
              <w:rPr>
                <w:rFonts w:hint="eastAsia" w:ascii="仿宋" w:hAnsi="仿宋" w:eastAsia="仿宋"/>
                <w:color w:val="000000" w:themeColor="text1"/>
                <w:szCs w:val="21"/>
              </w:rPr>
              <w:t>材料核查。</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（1）提供2019年5月底符合安全通车条件的500人以上自然村明细表，以及已通客运的500人以上自然村明细表；</w:t>
            </w:r>
          </w:p>
          <w:p>
            <w:pPr>
              <w:snapToGrid w:val="0"/>
              <w:jc w:val="left"/>
              <w:rPr>
                <w:rFonts w:ascii="仿宋" w:hAnsi="仿宋" w:eastAsia="仿宋"/>
                <w:color w:val="FF0000"/>
                <w:szCs w:val="21"/>
              </w:rPr>
            </w:pPr>
            <w:r>
              <w:rPr>
                <w:rFonts w:hint="eastAsia" w:ascii="仿宋" w:hAnsi="仿宋" w:eastAsia="仿宋"/>
                <w:szCs w:val="21"/>
              </w:rPr>
              <w:t>（2）提供提升符合安全通车条件的500人以上自然村通达率的相关证明材料。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1.9</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短途客运班线公交化改造比率（%）</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100</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30</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（1）达到目标值的，得30分；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（2）达到目标值的90%及以上，得24分；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（3）达到目标值的80%及以上，得18分；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（4）未达到目标值的80%的，不得分。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（1）计算方法：</w:t>
            </w:r>
          </w:p>
          <w:p>
            <w:pPr>
              <w:rPr>
                <w:rFonts w:asciiTheme="minorEastAsia" w:hAnsiTheme="minorEastAsia" w:eastAsiaTheme="minorEastAsia"/>
                <w:sz w:val="18"/>
                <w:szCs w:val="18"/>
              </w:rPr>
            </w:pPr>
            <m:oMathPara>
              <m:oMath>
                <m:r>
                  <m:rPr>
                    <m:sty m:val="p"/>
                  </m:rPr>
                  <w:rPr>
                    <w:rFonts w:hint="eastAsia" w:ascii="Cambria Math" w:hAnsi="Cambria Math" w:eastAsia="宋体" w:cs="宋体"/>
                    <w:sz w:val="18"/>
                    <w:szCs w:val="18"/>
                  </w:rPr>
                  <m:t>短途客运班线公交化改造比率</m:t>
                </m:r>
                <m:r>
                  <m:rPr>
                    <m:sty m:val="p"/>
                  </m:rPr>
                  <w:rPr>
                    <w:rFonts w:ascii="Cambria Math" w:hAnsi="Cambria Math" w:eastAsia="Times New Roman"/>
                    <w:sz w:val="18"/>
                    <w:szCs w:val="18"/>
                  </w:rPr>
                  <m:t>=</m:t>
                </m:r>
                <m:f>
                  <m:fPr>
                    <m:ctrlPr>
                      <w:rPr>
                        <w:rFonts w:ascii="Cambria Math" w:hAnsi="Cambria Math" w:eastAsiaTheme="minorEastAsia"/>
                        <w:sz w:val="18"/>
                        <w:szCs w:val="18"/>
                      </w:rPr>
                    </m:ctrlPr>
                  </m:fPr>
                  <m:num>
                    <m:r>
                      <m:rPr>
                        <m:sty m:val="p"/>
                      </m:rPr>
                      <w:rPr>
                        <w:rFonts w:hint="eastAsia" w:ascii="Cambria Math" w:hAnsi="Cambria Math" w:eastAsia="宋体" w:cs="宋体"/>
                        <w:sz w:val="18"/>
                        <w:szCs w:val="18"/>
                      </w:rPr>
                      <m:t>中心城区</m:t>
                    </m:r>
                    <m:r>
                      <m:rPr>
                        <m:sty m:val="p"/>
                      </m:rPr>
                      <w:rPr>
                        <w:rFonts w:ascii="Cambria Math" w:hAnsi="Cambria Math" w:eastAsia="Times New Roman"/>
                        <w:sz w:val="18"/>
                        <w:szCs w:val="18"/>
                      </w:rPr>
                      <m:t>20</m:t>
                    </m:r>
                    <m:r>
                      <m:rPr>
                        <m:sty m:val="p"/>
                      </m:rPr>
                      <w:rPr>
                        <w:rFonts w:hint="eastAsia" w:ascii="Cambria Math" w:hAnsi="Cambria Math" w:eastAsia="宋体" w:cs="宋体"/>
                        <w:sz w:val="18"/>
                        <w:szCs w:val="18"/>
                      </w:rPr>
                      <m:t>公里范围内公交化改造的客运班线数量</m:t>
                    </m:r>
                    <m:ctrlPr>
                      <w:rPr>
                        <w:rFonts w:ascii="Cambria Math" w:hAnsi="Cambria Math" w:eastAsiaTheme="minorEastAsia"/>
                        <w:sz w:val="18"/>
                        <w:szCs w:val="18"/>
                      </w:rPr>
                    </m:ctrlPr>
                  </m:num>
                  <m:den>
                    <m:r>
                      <m:rPr>
                        <m:sty m:val="p"/>
                      </m:rPr>
                      <w:rPr>
                        <w:rFonts w:hint="eastAsia" w:ascii="Cambria Math" w:hAnsi="Cambria Math" w:eastAsia="宋体" w:cs="宋体"/>
                        <w:sz w:val="18"/>
                        <w:szCs w:val="18"/>
                      </w:rPr>
                      <m:t>中心城区</m:t>
                    </m:r>
                    <m:r>
                      <m:rPr>
                        <m:sty m:val="p"/>
                      </m:rPr>
                      <w:rPr>
                        <w:rFonts w:ascii="Cambria Math" w:hAnsi="Cambria Math" w:eastAsia="Times New Roman"/>
                        <w:sz w:val="18"/>
                        <w:szCs w:val="18"/>
                      </w:rPr>
                      <m:t>20</m:t>
                    </m:r>
                    <m:r>
                      <m:rPr>
                        <m:sty m:val="p"/>
                      </m:rPr>
                      <w:rPr>
                        <w:rFonts w:hint="eastAsia" w:ascii="Cambria Math" w:hAnsi="Cambria Math" w:eastAsia="宋体" w:cs="宋体"/>
                        <w:sz w:val="18"/>
                        <w:szCs w:val="18"/>
                      </w:rPr>
                      <m:t>公里范围内客运班线数量</m:t>
                    </m:r>
                    <m:ctrlPr>
                      <w:rPr>
                        <w:rFonts w:ascii="Cambria Math" w:hAnsi="Cambria Math" w:eastAsiaTheme="minorEastAsia"/>
                        <w:sz w:val="18"/>
                        <w:szCs w:val="18"/>
                      </w:rPr>
                    </m:ctrlPr>
                  </m:den>
                </m:f>
              </m:oMath>
            </m:oMathPara>
          </w:p>
          <w:p>
            <w:pPr>
              <w:snapToGrid w:val="0"/>
              <w:jc w:val="left"/>
              <w:rPr>
                <w:rFonts w:ascii="仿宋" w:hAnsi="仿宋" w:eastAsia="仿宋"/>
                <w:szCs w:val="21"/>
              </w:rPr>
            </w:pPr>
            <w:r>
              <w:rPr>
                <w:rFonts w:hint="eastAsia" w:ascii="仿宋" w:hAnsi="仿宋" w:eastAsia="仿宋"/>
                <w:szCs w:val="21"/>
              </w:rPr>
              <w:t>（2）测评方式：</w:t>
            </w:r>
          </w:p>
          <w:p>
            <w:pPr>
              <w:snapToGrid w:val="0"/>
              <w:ind w:firstLine="420" w:firstLineChars="200"/>
              <w:jc w:val="left"/>
              <w:rPr>
                <w:rFonts w:ascii="仿宋" w:hAnsi="仿宋" w:eastAsia="仿宋"/>
                <w:szCs w:val="21"/>
              </w:rPr>
            </w:pPr>
            <w:r>
              <w:rPr>
                <w:rFonts w:hint="eastAsia" w:ascii="仿宋" w:hAnsi="仿宋" w:eastAsia="仿宋"/>
                <w:szCs w:val="21"/>
              </w:rPr>
              <w:t>材料核查。</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提供中心城区20公里范围内客运班线汇总表，含线路名称、里程、运营模式（公交客运、班线客运、公交化客运）等以及相关批复文件等证明材料。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1.10</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城乡客运一体化发展专项基金占财政收入比例（%）</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≥0.5</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30</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（1）达到目标值的，得30分；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（2）达到目标值的90%及以上，得24分；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（3）达到目标值的80%及以上，得18分；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（4）未达到目标值的80%的，不得分。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rPr>
                <w:rFonts w:asciiTheme="minorEastAsia" w:hAnsiTheme="minorEastAsia" w:eastAsiaTheme="minorEastAsia"/>
                <w:sz w:val="18"/>
                <w:szCs w:val="18"/>
              </w:rPr>
            </w:pPr>
            <m:oMathPara>
              <m:oMath>
                <m:r>
                  <m:rPr>
                    <m:sty m:val="p"/>
                  </m:rPr>
                  <w:rPr>
                    <w:rFonts w:hint="eastAsia" w:ascii="Cambria Math" w:hAnsi="Cambria Math" w:eastAsia="宋体" w:cs="宋体"/>
                    <w:color w:val="000000" w:themeColor="text1"/>
                    <w:sz w:val="18"/>
                    <w:szCs w:val="18"/>
                  </w:rPr>
                  <m:t>城乡客运一体化发展专项基金占财政收入比例</m:t>
                </m:r>
                <m:r>
                  <m:rPr>
                    <m:sty m:val="p"/>
                  </m:rPr>
                  <w:rPr>
                    <w:rFonts w:ascii="Cambria Math" w:hAnsi="Cambria Math" w:eastAsia="Times New Roman"/>
                    <w:sz w:val="18"/>
                    <w:szCs w:val="18"/>
                  </w:rPr>
                  <m:t>=</m:t>
                </m:r>
                <m:f>
                  <m:fPr>
                    <m:ctrlPr>
                      <w:rPr>
                        <w:rFonts w:ascii="Cambria Math" w:hAnsi="Cambria Math" w:eastAsiaTheme="minorEastAsia"/>
                        <w:sz w:val="18"/>
                        <w:szCs w:val="18"/>
                      </w:rPr>
                    </m:ctrlPr>
                  </m:fPr>
                  <m:num>
                    <m:r>
                      <m:rPr>
                        <m:sty m:val="p"/>
                      </m:rPr>
                      <w:rPr>
                        <w:rFonts w:hint="eastAsia" w:ascii="Cambria Math" w:hAnsi="Cambria Math" w:eastAsia="宋体" w:cs="宋体"/>
                        <w:sz w:val="18"/>
                        <w:szCs w:val="18"/>
                      </w:rPr>
                      <m:t>创建期内城乡客运一体化发展财政投入资金总额</m:t>
                    </m:r>
                    <m:ctrlPr>
                      <w:rPr>
                        <w:rFonts w:ascii="Cambria Math" w:hAnsi="Cambria Math" w:eastAsiaTheme="minorEastAsia"/>
                        <w:sz w:val="18"/>
                        <w:szCs w:val="18"/>
                      </w:rPr>
                    </m:ctrlPr>
                  </m:num>
                  <m:den>
                    <m:r>
                      <m:rPr>
                        <m:sty m:val="p"/>
                      </m:rPr>
                      <w:rPr>
                        <w:rFonts w:hint="eastAsia" w:ascii="Cambria Math" w:hAnsi="Cambria Math" w:eastAsia="宋体" w:cs="宋体"/>
                        <w:sz w:val="18"/>
                        <w:szCs w:val="18"/>
                      </w:rPr>
                      <m:t>创建期内财政收入资金总额</m:t>
                    </m:r>
                    <m:ctrlPr>
                      <w:rPr>
                        <w:rFonts w:ascii="Cambria Math" w:hAnsi="Cambria Math" w:eastAsiaTheme="minorEastAsia"/>
                        <w:sz w:val="18"/>
                        <w:szCs w:val="18"/>
                      </w:rPr>
                    </m:ctrlPr>
                  </m:den>
                </m:f>
              </m:oMath>
            </m:oMathPara>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 xml:space="preserve"> （2）测评方式：</w:t>
            </w:r>
          </w:p>
          <w:p>
            <w:pPr>
              <w:snapToGrid w:val="0"/>
              <w:ind w:firstLine="420" w:firstLineChars="200"/>
              <w:jc w:val="left"/>
              <w:rPr>
                <w:rFonts w:ascii="仿宋" w:hAnsi="仿宋" w:eastAsia="仿宋"/>
                <w:color w:val="000000" w:themeColor="text1"/>
                <w:szCs w:val="21"/>
              </w:rPr>
            </w:pPr>
            <w:r>
              <w:rPr>
                <w:rFonts w:hint="eastAsia" w:ascii="仿宋" w:hAnsi="仿宋" w:eastAsia="仿宋"/>
                <w:color w:val="000000" w:themeColor="text1"/>
                <w:szCs w:val="21"/>
              </w:rPr>
              <w:t>材料核查。</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提供有关部门出具的创建期内公共交通财政总投入资料和财政总收入的证明材料。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1.11</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示范范围内城乡间一次出行时间（分钟）</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≤60</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30</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（1）达到目标值的，得30分；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（2）达到目标值的90%及以上，得24分；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（3）达到目标值的80%及以上，得18分；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（4）未达到目标值的80%的，不得分。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（1）计算方法：</w:t>
            </w:r>
          </w:p>
          <w:p>
            <w:pPr>
              <w:snapToGrid w:val="0"/>
              <w:jc w:val="left"/>
              <w:rPr>
                <w:rFonts w:ascii="仿宋" w:hAnsi="仿宋" w:eastAsia="仿宋"/>
                <w:szCs w:val="21"/>
              </w:rPr>
            </w:pPr>
            <w:r>
              <w:rPr>
                <w:rFonts w:hint="eastAsia" w:ascii="仿宋" w:hAnsi="仿宋" w:eastAsia="仿宋"/>
                <w:position w:val="-20"/>
                <w:szCs w:val="21"/>
              </w:rPr>
              <w:object>
                <v:shape id="_x0000_i1079" o:spt="75" type="#_x0000_t75" style="height:26.25pt;width:225.75pt;" o:ole="t" filled="f" o:preferrelative="t" stroked="f" coordsize="21600,21600">
                  <v:path/>
                  <v:fill on="f" focussize="0,0"/>
                  <v:stroke on="f" joinstyle="miter"/>
                  <v:imagedata r:id="rId25" o:title=""/>
                  <o:lock v:ext="edit" aspectratio="t"/>
                  <w10:wrap type="none"/>
                  <w10:anchorlock/>
                </v:shape>
                <o:OLEObject Type="Embed" ProgID="Equation.DSMT4" ShapeID="_x0000_i1079" DrawAspect="Content" ObjectID="_1468075735" r:id="rId24">
                  <o:LockedField>false</o:LockedField>
                </o:OLEObject>
              </w:object>
            </w:r>
          </w:p>
          <w:p>
            <w:pPr>
              <w:snapToGrid w:val="0"/>
              <w:jc w:val="left"/>
              <w:rPr>
                <w:rFonts w:ascii="仿宋" w:hAnsi="仿宋" w:eastAsia="仿宋"/>
                <w:szCs w:val="21"/>
              </w:rPr>
            </w:pPr>
            <w:r>
              <w:rPr>
                <w:rFonts w:hint="eastAsia" w:ascii="仿宋" w:hAnsi="仿宋" w:eastAsia="仿宋"/>
                <w:szCs w:val="21"/>
              </w:rPr>
              <w:t>（2）测评方式：</w:t>
            </w:r>
          </w:p>
          <w:p>
            <w:pPr>
              <w:snapToGrid w:val="0"/>
              <w:ind w:firstLine="420" w:firstLineChars="200"/>
              <w:jc w:val="left"/>
              <w:rPr>
                <w:rFonts w:ascii="仿宋" w:hAnsi="仿宋" w:eastAsia="仿宋"/>
                <w:color w:val="000000" w:themeColor="text1"/>
                <w:szCs w:val="21"/>
              </w:rPr>
            </w:pPr>
            <w:r>
              <w:rPr>
                <w:rFonts w:hint="eastAsia" w:ascii="仿宋" w:hAnsi="仿宋" w:eastAsia="仿宋"/>
                <w:szCs w:val="21"/>
              </w:rPr>
              <w:t>材料核查。</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提供有关部门出具的公交平均出行距离证明材料或调查报告。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1.12</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城乡间出行换乘系数</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≤1.5</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30</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（1）达到目标值的，得30分；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（2）达到目标值的90%及以上，得24分；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（3）达到目标值的80%及以上，得18分；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（4）未达到目标值的80%的，不得分。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22"/>
                <w:szCs w:val="21"/>
              </w:rPr>
              <w:object>
                <v:shape id="_x0000_i1080" o:spt="75" type="#_x0000_t75" style="height:27.75pt;width:210.75pt;" o:ole="t" filled="f" o:preferrelative="t" stroked="f" coordsize="21600,21600">
                  <v:path/>
                  <v:fill on="f" focussize="0,0"/>
                  <v:stroke on="f" joinstyle="miter"/>
                  <v:imagedata r:id="rId27" o:title=""/>
                  <o:lock v:ext="edit" aspectratio="t"/>
                  <w10:wrap type="none"/>
                  <w10:anchorlock/>
                </v:shape>
                <o:OLEObject Type="Embed" ProgID="Equation.DSMT4" ShapeID="_x0000_i1080" DrawAspect="Content" ObjectID="_1468075736" r:id="rId26">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其中：</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6"/>
                <w:szCs w:val="21"/>
              </w:rPr>
              <w:object>
                <v:shape id="_x0000_i1081" o:spt="75" type="#_x0000_t75" style="height:12.75pt;width:275.25pt;" o:ole="t" filled="f" o:preferrelative="t" stroked="f" coordsize="21600,21600">
                  <v:path/>
                  <v:fill on="f" focussize="0,0"/>
                  <v:stroke on="f" joinstyle="miter"/>
                  <v:imagedata r:id="rId29" o:title=""/>
                  <o:lock v:ext="edit" aspectratio="t"/>
                  <w10:wrap type="none"/>
                  <w10:anchorlock/>
                </v:shape>
                <o:OLEObject Type="Embed" ProgID="Equation.DSMT4" ShapeID="_x0000_i1081" DrawAspect="Content" ObjectID="_1468075737" r:id="rId28">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6"/>
                <w:szCs w:val="21"/>
              </w:rPr>
              <w:object>
                <v:shape id="_x0000_i1082" o:spt="75" type="#_x0000_t75" style="height:12.75pt;width:293.25pt;" o:ole="t" filled="f" o:preferrelative="t" stroked="f" coordsize="21600,21600">
                  <v:path/>
                  <v:fill on="f" focussize="0,0"/>
                  <v:stroke on="f" joinstyle="miter"/>
                  <v:imagedata r:id="rId31" o:title=""/>
                  <o:lock v:ext="edit" aspectratio="t"/>
                  <w10:wrap type="none"/>
                  <w10:anchorlock/>
                </v:shape>
                <o:OLEObject Type="Embed" ProgID="Equation.DSMT4" ShapeID="_x0000_i1082" DrawAspect="Content" ObjectID="_1468075738" r:id="rId30">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ind w:firstLine="420" w:firstLineChars="200"/>
              <w:jc w:val="left"/>
              <w:rPr>
                <w:rFonts w:ascii="仿宋" w:hAnsi="仿宋" w:eastAsia="仿宋"/>
                <w:color w:val="000000" w:themeColor="text1"/>
                <w:szCs w:val="21"/>
              </w:rPr>
            </w:pPr>
            <w:r>
              <w:rPr>
                <w:rFonts w:hint="eastAsia" w:ascii="仿宋" w:hAnsi="仿宋" w:eastAsia="仿宋"/>
                <w:color w:val="000000" w:themeColor="text1"/>
                <w:szCs w:val="21"/>
              </w:rPr>
              <w:t>材料核查。</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提供有关部门出具的城乡公共交通客运总量和城乡公共交通出行总量数据的证明材料或调查报告。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697" w:type="dxa"/>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1.13</w:t>
            </w:r>
          </w:p>
        </w:tc>
        <w:tc>
          <w:tcPr>
            <w:tcW w:w="1174" w:type="dxa"/>
            <w:gridSpan w:val="3"/>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行政村客运班车通达目标完成情况</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行政村客运班车通达率≥95%</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25</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（1）达到目标值的，得25分；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（2）未达到目标值的，不得分。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22"/>
                <w:szCs w:val="21"/>
              </w:rPr>
              <w:object>
                <v:shape id="_x0000_i1083" o:spt="75" type="#_x0000_t75" style="height:27.75pt;width:236.25pt;" o:ole="t" filled="f" o:preferrelative="t" stroked="f" coordsize="21600,21600">
                  <v:path/>
                  <v:fill on="f" focussize="0,0"/>
                  <v:stroke on="f" joinstyle="miter"/>
                  <v:imagedata r:id="rId33" o:title=""/>
                  <o:lock v:ext="edit" aspectratio="t"/>
                  <w10:wrap type="none"/>
                  <w10:anchorlock/>
                </v:shape>
                <o:OLEObject Type="Embed" ProgID="Equation.DSMT4" ShapeID="_x0000_i1083" DrawAspect="Content" ObjectID="_1468075739" r:id="rId32">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ind w:left="420" w:leftChars="200"/>
              <w:jc w:val="left"/>
              <w:rPr>
                <w:rFonts w:ascii="仿宋" w:hAnsi="仿宋" w:eastAsia="仿宋"/>
                <w:color w:val="000000" w:themeColor="text1"/>
                <w:szCs w:val="21"/>
              </w:rPr>
            </w:pPr>
            <w:r>
              <w:rPr>
                <w:rFonts w:hint="eastAsia" w:ascii="仿宋" w:hAnsi="仿宋" w:eastAsia="仿宋"/>
                <w:szCs w:val="21"/>
              </w:rPr>
              <w:t>①厅系统查验。</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szCs w:val="21"/>
              </w:rPr>
              <w:t>以省厅报交通运输部考核数据为准。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697" w:type="dxa"/>
            <w:vMerge w:val="continue"/>
            <w:tcBorders>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p>
        </w:tc>
        <w:tc>
          <w:tcPr>
            <w:tcW w:w="1174" w:type="dxa"/>
            <w:gridSpan w:val="3"/>
            <w:vMerge w:val="continue"/>
            <w:tcBorders>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2017-2018年度新增通客运班车行政村指标63个</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25</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（1）达到目标值的，得25分；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（2）达到目标值的90%及以上，得20分；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（3）达到目标值的80%及以上，得15分；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（4）未达到目标值80%的，不得分。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rPr>
                <w:rFonts w:ascii="黑体" w:hAnsi="黑体" w:eastAsia="黑体"/>
                <w:sz w:val="18"/>
                <w:szCs w:val="18"/>
              </w:rPr>
            </w:pPr>
            <m:oMathPara>
              <m:oMath>
                <m:r>
                  <m:rPr>
                    <m:sty m:val="p"/>
                  </m:rPr>
                  <w:rPr>
                    <w:rFonts w:hint="eastAsia" w:ascii="Cambria Math" w:hAnsi="Cambria Math" w:eastAsia="黑体"/>
                    <w:color w:val="000000" w:themeColor="text1"/>
                    <w:sz w:val="18"/>
                    <w:szCs w:val="18"/>
                  </w:rPr>
                  <m:t>新增通客运班车行政村目标完成率</m:t>
                </m:r>
                <m:r>
                  <m:rPr>
                    <m:sty m:val="p"/>
                  </m:rPr>
                  <w:rPr>
                    <w:rFonts w:ascii="Cambria Math" w:hAnsi="黑体" w:eastAsia="黑体"/>
                    <w:color w:val="000000" w:themeColor="text1"/>
                    <w:sz w:val="18"/>
                    <w:szCs w:val="18"/>
                  </w:rPr>
                  <m:t>=</m:t>
                </m:r>
                <m:f>
                  <m:fPr>
                    <m:ctrlPr>
                      <w:rPr>
                        <w:rFonts w:ascii="Cambria Math" w:hAnsi="黑体" w:eastAsia="黑体"/>
                        <w:sz w:val="18"/>
                        <w:szCs w:val="18"/>
                      </w:rPr>
                    </m:ctrlPr>
                  </m:fPr>
                  <m:num>
                    <m:r>
                      <m:rPr>
                        <m:sty m:val="p"/>
                      </m:rPr>
                      <w:rPr>
                        <w:rFonts w:hint="eastAsia" w:ascii="Cambria Math" w:hAnsi="Cambria Math" w:eastAsia="黑体"/>
                        <w:color w:val="000000" w:themeColor="text1"/>
                        <w:sz w:val="18"/>
                        <w:szCs w:val="18"/>
                      </w:rPr>
                      <m:t>创建期末实际新增通客运班车行政村数量</m:t>
                    </m:r>
                    <m:ctrlPr>
                      <w:rPr>
                        <w:rFonts w:ascii="Cambria Math" w:hAnsi="黑体" w:eastAsia="黑体"/>
                        <w:sz w:val="18"/>
                        <w:szCs w:val="18"/>
                      </w:rPr>
                    </m:ctrlPr>
                  </m:num>
                  <m:den>
                    <m:r>
                      <m:rPr>
                        <m:sty m:val="p"/>
                      </m:rPr>
                      <w:rPr>
                        <w:rFonts w:ascii="Cambria Math" w:hAnsi="黑体" w:eastAsia="黑体"/>
                        <w:sz w:val="18"/>
                        <w:szCs w:val="18"/>
                      </w:rPr>
                      <m:t>63</m:t>
                    </m:r>
                    <m:ctrlPr>
                      <w:rPr>
                        <w:rFonts w:ascii="Cambria Math" w:hAnsi="黑体" w:eastAsia="黑体"/>
                        <w:sz w:val="18"/>
                        <w:szCs w:val="18"/>
                      </w:rPr>
                    </m:ctrlPr>
                  </m:den>
                </m:f>
                <m:r>
                  <m:rPr>
                    <m:sty m:val="p"/>
                  </m:rPr>
                  <w:rPr>
                    <w:rFonts w:hint="eastAsia" w:ascii="Cambria Math" w:hAnsi="Cambria Math" w:eastAsia="黑体"/>
                    <w:sz w:val="18"/>
                    <w:szCs w:val="18"/>
                  </w:rPr>
                  <m:t>×</m:t>
                </m:r>
                <m:r>
                  <m:rPr>
                    <m:sty m:val="p"/>
                  </m:rPr>
                  <w:rPr>
                    <w:rFonts w:ascii="Cambria Math" w:hAnsi="黑体" w:eastAsia="黑体"/>
                    <w:sz w:val="18"/>
                    <w:szCs w:val="18"/>
                  </w:rPr>
                  <m:t>100%</m:t>
                </m:r>
              </m:oMath>
            </m:oMathPara>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①厅统计数据查验。</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以省厅统计的新增通客运班车行政村数据为准。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1.14</w:t>
            </w:r>
          </w:p>
        </w:tc>
        <w:tc>
          <w:tcPr>
            <w:tcW w:w="11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新能源公交车更新和新增比例（%）</w:t>
            </w:r>
          </w:p>
        </w:tc>
        <w:tc>
          <w:tcPr>
            <w:tcW w:w="11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100</w:t>
            </w:r>
          </w:p>
        </w:tc>
        <w:tc>
          <w:tcPr>
            <w:tcW w:w="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Cs w:val="21"/>
              </w:rPr>
            </w:pPr>
            <w:r>
              <w:rPr>
                <w:rFonts w:hint="eastAsia" w:ascii="仿宋" w:hAnsi="仿宋" w:eastAsia="仿宋"/>
                <w:color w:val="000000" w:themeColor="text1"/>
                <w:szCs w:val="21"/>
              </w:rPr>
              <w:t>50</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（1）达到目标值的，得50分；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（2）达到目标值的90%及以上，得40分；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（3）达到目标值的80%及以上，得30分；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（4）未达到目标值80%的，不得分。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22"/>
                <w:szCs w:val="21"/>
              </w:rPr>
              <w:object>
                <v:shape id="_x0000_i1084" o:spt="75" type="#_x0000_t75" style="height:27.75pt;width:308.25pt;" o:ole="t" filled="f" o:preferrelative="t" stroked="f" coordsize="21600,21600">
                  <v:path/>
                  <v:fill on="f" focussize="0,0"/>
                  <v:stroke on="f" joinstyle="miter"/>
                  <v:imagedata r:id="rId35" o:title=""/>
                  <o:lock v:ext="edit" aspectratio="t"/>
                  <w10:wrap type="none"/>
                  <w10:anchorlock/>
                </v:shape>
                <o:OLEObject Type="Embed" ProgID="Equation.DSMT4" ShapeID="_x0000_i1084" DrawAspect="Content" ObjectID="_1468075740" r:id="rId34">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ind w:left="420" w:leftChars="200"/>
              <w:jc w:val="left"/>
              <w:rPr>
                <w:rFonts w:ascii="仿宋" w:hAnsi="仿宋" w:eastAsia="仿宋"/>
                <w:color w:val="000000" w:themeColor="text1"/>
                <w:szCs w:val="21"/>
              </w:rPr>
            </w:pPr>
            <w:r>
              <w:rPr>
                <w:rFonts w:hint="eastAsia" w:ascii="仿宋" w:hAnsi="仿宋" w:eastAsia="仿宋"/>
                <w:szCs w:val="21"/>
              </w:rPr>
              <w:t>①油补系统查验。</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以交通运输部新能源公交车运营补助资金申报系统数据为准。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5542" w:type="dxa"/>
            <w:gridSpan w:val="10"/>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napToGrid w:val="0"/>
              <w:jc w:val="left"/>
              <w:rPr>
                <w:rFonts w:ascii="仿宋" w:hAnsi="仿宋" w:eastAsia="仿宋"/>
                <w:szCs w:val="21"/>
              </w:rPr>
            </w:pPr>
            <w:r>
              <w:rPr>
                <w:rFonts w:hint="eastAsia" w:ascii="仿宋" w:hAnsi="仿宋" w:eastAsia="仿宋"/>
                <w:b/>
                <w:szCs w:val="21"/>
              </w:rPr>
              <w:t>二、创建方案实施情况（满分300分）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序号</w:t>
            </w:r>
          </w:p>
        </w:tc>
        <w:tc>
          <w:tcPr>
            <w:tcW w:w="298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创建内容</w:t>
            </w:r>
          </w:p>
        </w:tc>
        <w:tc>
          <w:tcPr>
            <w:tcW w:w="67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计分标准</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测评方法</w:t>
            </w:r>
          </w:p>
        </w:tc>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2.1</w:t>
            </w:r>
          </w:p>
        </w:tc>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打破城乡界限统筹城乡客运发展</w:t>
            </w:r>
          </w:p>
        </w:tc>
        <w:tc>
          <w:tcPr>
            <w:tcW w:w="2162"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
                <w:szCs w:val="21"/>
              </w:rPr>
            </w:pPr>
            <w:r>
              <w:rPr>
                <w:rFonts w:hint="eastAsia" w:ascii="仿宋" w:hAnsi="仿宋" w:eastAsia="仿宋"/>
                <w:b/>
                <w:szCs w:val="21"/>
              </w:rPr>
              <w:t>2.1.1规划调控</w:t>
            </w:r>
          </w:p>
          <w:p>
            <w:pPr>
              <w:snapToGrid w:val="0"/>
              <w:jc w:val="left"/>
              <w:rPr>
                <w:rFonts w:ascii="仿宋" w:hAnsi="仿宋" w:eastAsia="仿宋"/>
                <w:szCs w:val="21"/>
              </w:rPr>
            </w:pPr>
            <w:r>
              <w:rPr>
                <w:rFonts w:hint="eastAsia" w:ascii="仿宋" w:hAnsi="仿宋" w:eastAsia="仿宋"/>
                <w:szCs w:val="21"/>
              </w:rPr>
              <w:t>城市公共交通和城乡客运一体化规划编制及实施情况。</w:t>
            </w:r>
          </w:p>
        </w:tc>
        <w:tc>
          <w:tcPr>
            <w:tcW w:w="677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满分10分</w:t>
            </w:r>
          </w:p>
          <w:p>
            <w:pPr>
              <w:snapToGrid w:val="0"/>
              <w:jc w:val="left"/>
              <w:rPr>
                <w:rFonts w:ascii="仿宋" w:hAnsi="仿宋" w:eastAsia="仿宋"/>
                <w:szCs w:val="21"/>
              </w:rPr>
            </w:pPr>
            <w:r>
              <w:rPr>
                <w:rFonts w:hint="eastAsia" w:ascii="仿宋" w:hAnsi="仿宋" w:eastAsia="仿宋"/>
                <w:szCs w:val="21"/>
              </w:rPr>
              <w:t>（1）编制完成《潮州市城市公交及城乡客运一体化规划》或城乡公共交通顶层设计方面的其他规划的，并报城市人民政府批准实施的，得10分。</w:t>
            </w:r>
          </w:p>
        </w:tc>
        <w:tc>
          <w:tcPr>
            <w:tcW w:w="282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技术验收组书面核查城乡公共交通顶层设计方面的相关规划成果及相关证明材料。</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提供城乡公共交通顶层设计方面的相关规划成果及相关证明材料。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p>
        </w:tc>
        <w:tc>
          <w:tcPr>
            <w:tcW w:w="216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2.1.2设施建设</w:t>
            </w:r>
          </w:p>
          <w:p>
            <w:pPr>
              <w:snapToGrid w:val="0"/>
              <w:jc w:val="left"/>
              <w:rPr>
                <w:rFonts w:ascii="仿宋" w:hAnsi="仿宋" w:eastAsia="仿宋"/>
                <w:szCs w:val="21"/>
              </w:rPr>
            </w:pPr>
            <w:r>
              <w:rPr>
                <w:rFonts w:hint="eastAsia" w:ascii="仿宋" w:hAnsi="仿宋" w:eastAsia="仿宋"/>
                <w:szCs w:val="21"/>
              </w:rPr>
              <w:t>（1）城市综合客运枢纽建设任务完成和使用情况；</w:t>
            </w:r>
          </w:p>
          <w:p>
            <w:pPr>
              <w:snapToGrid w:val="0"/>
              <w:jc w:val="left"/>
              <w:rPr>
                <w:rFonts w:ascii="仿宋" w:hAnsi="仿宋" w:eastAsia="仿宋"/>
                <w:szCs w:val="21"/>
              </w:rPr>
            </w:pPr>
            <w:r>
              <w:rPr>
                <w:rFonts w:hint="eastAsia" w:ascii="仿宋" w:hAnsi="仿宋" w:eastAsia="仿宋"/>
                <w:szCs w:val="21"/>
              </w:rPr>
              <w:t>（2）公交换乘枢纽、首末站、停保场等服务设施建设完成和使用情况；</w:t>
            </w:r>
          </w:p>
          <w:p>
            <w:pPr>
              <w:snapToGrid w:val="0"/>
              <w:jc w:val="left"/>
              <w:rPr>
                <w:rFonts w:ascii="仿宋" w:hAnsi="仿宋" w:eastAsia="仿宋"/>
                <w:szCs w:val="21"/>
              </w:rPr>
            </w:pPr>
            <w:r>
              <w:rPr>
                <w:rFonts w:hint="eastAsia" w:ascii="仿宋" w:hAnsi="仿宋" w:eastAsia="仿宋"/>
                <w:szCs w:val="21"/>
              </w:rPr>
              <w:t>（3）公交候车亭建设完成和使用情况。</w:t>
            </w:r>
          </w:p>
        </w:tc>
        <w:tc>
          <w:tcPr>
            <w:tcW w:w="677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满分50分</w:t>
            </w:r>
          </w:p>
          <w:p>
            <w:pPr>
              <w:snapToGrid w:val="0"/>
              <w:jc w:val="left"/>
              <w:rPr>
                <w:rFonts w:ascii="仿宋" w:hAnsi="仿宋" w:eastAsia="仿宋"/>
                <w:szCs w:val="21"/>
              </w:rPr>
            </w:pPr>
            <w:r>
              <w:rPr>
                <w:rFonts w:hint="eastAsia" w:ascii="仿宋" w:hAnsi="仿宋" w:eastAsia="仿宋"/>
                <w:szCs w:val="21"/>
              </w:rPr>
              <w:t>（1）创建期内规划建设城市综合客运枢纽且实现相关功能的，得10分；（2）规划建设公交换乘枢纽、首末站、停保场且实现相关功能的，得30分；</w:t>
            </w:r>
          </w:p>
          <w:p>
            <w:pPr>
              <w:snapToGrid w:val="0"/>
              <w:jc w:val="left"/>
              <w:rPr>
                <w:rFonts w:ascii="仿宋" w:hAnsi="仿宋" w:eastAsia="仿宋"/>
                <w:szCs w:val="21"/>
              </w:rPr>
            </w:pPr>
            <w:r>
              <w:rPr>
                <w:rFonts w:hint="eastAsia" w:ascii="仿宋" w:hAnsi="仿宋" w:eastAsia="仿宋"/>
                <w:szCs w:val="21"/>
              </w:rPr>
              <w:t>（3）完成公交候车亭建设任务的，得10分。</w:t>
            </w:r>
          </w:p>
          <w:p>
            <w:pPr>
              <w:snapToGrid w:val="0"/>
              <w:jc w:val="left"/>
              <w:rPr>
                <w:rFonts w:ascii="仿宋" w:hAnsi="仿宋" w:eastAsia="仿宋"/>
                <w:szCs w:val="21"/>
              </w:rPr>
            </w:pPr>
            <w:r>
              <w:rPr>
                <w:rFonts w:hint="eastAsia" w:ascii="仿宋" w:hAnsi="仿宋" w:eastAsia="仿宋"/>
                <w:szCs w:val="21"/>
              </w:rPr>
              <w:t>同一项目具有多个数量场站设施的，以各类基础设施项满分值为基础，按照实际完成数量的比例和项目的实际进度平均折算分数。</w:t>
            </w:r>
          </w:p>
        </w:tc>
        <w:tc>
          <w:tcPr>
            <w:tcW w:w="282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（1）技术验收组书面核查公交场站设施建设情况和相关证明材料；</w:t>
            </w:r>
          </w:p>
          <w:p>
            <w:pPr>
              <w:snapToGrid w:val="0"/>
              <w:rPr>
                <w:rFonts w:ascii="仿宋" w:hAnsi="仿宋" w:eastAsia="仿宋"/>
                <w:szCs w:val="21"/>
              </w:rPr>
            </w:pPr>
            <w:r>
              <w:rPr>
                <w:rFonts w:hint="eastAsia" w:ascii="仿宋" w:hAnsi="仿宋" w:eastAsia="仿宋"/>
                <w:szCs w:val="21"/>
              </w:rPr>
              <w:t>（2）暗访评估组以随机抽取的方式，实地勘察部分公交场站设施。</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（1）提供创建期内规划建设的各类公交场站设施汇总表（含设施类型、数量、名称、位置、功能、建成时间等）；</w:t>
            </w:r>
          </w:p>
          <w:p>
            <w:pPr>
              <w:snapToGrid w:val="0"/>
              <w:rPr>
                <w:rFonts w:ascii="仿宋" w:hAnsi="仿宋" w:eastAsia="仿宋"/>
                <w:szCs w:val="21"/>
              </w:rPr>
            </w:pPr>
            <w:r>
              <w:rPr>
                <w:rFonts w:hint="eastAsia" w:ascii="仿宋" w:hAnsi="仿宋" w:eastAsia="仿宋"/>
                <w:szCs w:val="21"/>
              </w:rPr>
              <w:t>（2）对照建设汇总表，提供各类场站设施相应的工程竣工验收等能够反映建成投入使用的证明资料。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16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2.1.3网络统筹</w:t>
            </w:r>
          </w:p>
          <w:p>
            <w:pPr>
              <w:snapToGrid w:val="0"/>
              <w:jc w:val="left"/>
              <w:rPr>
                <w:rFonts w:ascii="仿宋" w:hAnsi="仿宋" w:eastAsia="仿宋"/>
                <w:szCs w:val="21"/>
              </w:rPr>
            </w:pPr>
            <w:r>
              <w:rPr>
                <w:rFonts w:hint="eastAsia" w:ascii="仿宋" w:hAnsi="仿宋" w:eastAsia="仿宋"/>
                <w:szCs w:val="21"/>
              </w:rPr>
              <w:t>创建范围内客运班线公交化改造任务完成情况。</w:t>
            </w:r>
          </w:p>
        </w:tc>
        <w:tc>
          <w:tcPr>
            <w:tcW w:w="677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满分30分</w:t>
            </w:r>
          </w:p>
          <w:p>
            <w:pPr>
              <w:snapToGrid w:val="0"/>
              <w:jc w:val="left"/>
              <w:rPr>
                <w:rFonts w:ascii="仿宋" w:hAnsi="仿宋" w:eastAsia="仿宋"/>
                <w:b/>
                <w:szCs w:val="21"/>
              </w:rPr>
            </w:pPr>
            <w:r>
              <w:rPr>
                <w:rFonts w:hint="eastAsia" w:ascii="仿宋" w:hAnsi="仿宋" w:eastAsia="仿宋"/>
                <w:szCs w:val="21"/>
              </w:rPr>
              <w:t>推动创建区域范围内客运班线公交化改造，实现“全域公交”发展计划的，得30分。未完成相应的建设目标，按照实际完成目标的比例平均折算分数。</w:t>
            </w:r>
          </w:p>
        </w:tc>
        <w:tc>
          <w:tcPr>
            <w:tcW w:w="282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技术验收组书面核查创建区域内客运班线明细表及相关证明材料。</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提供创建期初示范区域内客运班线汇总表和创建期末客运班线汇总表，及公交化改造的相关批复、文件等证明材料。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16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2.1.4优化环境</w:t>
            </w:r>
          </w:p>
          <w:p>
            <w:pPr>
              <w:snapToGrid w:val="0"/>
              <w:jc w:val="left"/>
              <w:rPr>
                <w:rFonts w:ascii="仿宋" w:hAnsi="仿宋" w:eastAsia="仿宋"/>
                <w:b/>
                <w:szCs w:val="21"/>
              </w:rPr>
            </w:pPr>
            <w:r>
              <w:rPr>
                <w:rFonts w:hint="eastAsia" w:ascii="仿宋" w:hAnsi="仿宋" w:eastAsia="仿宋"/>
                <w:szCs w:val="21"/>
              </w:rPr>
              <w:t>城乡客运一体化政策和制度建设完成情况。</w:t>
            </w:r>
          </w:p>
        </w:tc>
        <w:tc>
          <w:tcPr>
            <w:tcW w:w="677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满分20分</w:t>
            </w:r>
          </w:p>
          <w:p>
            <w:pPr>
              <w:snapToGrid w:val="0"/>
              <w:jc w:val="left"/>
              <w:rPr>
                <w:rFonts w:ascii="仿宋" w:hAnsi="仿宋" w:eastAsia="仿宋"/>
                <w:szCs w:val="21"/>
              </w:rPr>
            </w:pPr>
            <w:r>
              <w:rPr>
                <w:rFonts w:hint="eastAsia" w:ascii="仿宋" w:hAnsi="仿宋" w:eastAsia="仿宋"/>
                <w:szCs w:val="21"/>
              </w:rPr>
              <w:t>（1）制订《潮州市城乡公交化客运管理办法》并印发实施的，得10分；</w:t>
            </w:r>
          </w:p>
          <w:p>
            <w:pPr>
              <w:snapToGrid w:val="0"/>
              <w:jc w:val="left"/>
              <w:rPr>
                <w:rFonts w:ascii="仿宋" w:hAnsi="仿宋" w:eastAsia="仿宋"/>
                <w:b/>
                <w:szCs w:val="21"/>
              </w:rPr>
            </w:pPr>
            <w:r>
              <w:rPr>
                <w:rFonts w:hint="eastAsia" w:ascii="仿宋" w:hAnsi="仿宋" w:eastAsia="仿宋"/>
                <w:szCs w:val="21"/>
              </w:rPr>
              <w:t>（2）制订潮州市城乡公交化客运票价政策并印发实施的，得10分。</w:t>
            </w:r>
          </w:p>
        </w:tc>
        <w:tc>
          <w:tcPr>
            <w:tcW w:w="282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技术验收组书面核查潮州市城乡公交化客运管理办法和票价政策文件及相关证明材料。</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提供潮州市城乡公交化客运管理办法和票价政策文件及批复、印发通知等相关证明材料。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2.2</w:t>
            </w:r>
          </w:p>
        </w:tc>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全面提升城乡客运服务水平</w:t>
            </w:r>
          </w:p>
        </w:tc>
        <w:tc>
          <w:tcPr>
            <w:tcW w:w="2162"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（1）公交专用道建设任务完成和使用效果情况；</w:t>
            </w:r>
          </w:p>
          <w:p>
            <w:pPr>
              <w:snapToGrid w:val="0"/>
              <w:rPr>
                <w:rFonts w:ascii="仿宋" w:hAnsi="仿宋" w:eastAsia="仿宋"/>
                <w:szCs w:val="21"/>
              </w:rPr>
            </w:pPr>
            <w:r>
              <w:rPr>
                <w:rFonts w:hint="eastAsia" w:ascii="仿宋" w:hAnsi="仿宋" w:eastAsia="仿宋"/>
                <w:szCs w:val="21"/>
              </w:rPr>
              <w:t>（2）常规公交线路新增和优化调整任务完成情况；</w:t>
            </w:r>
          </w:p>
          <w:p>
            <w:pPr>
              <w:snapToGrid w:val="0"/>
              <w:rPr>
                <w:rFonts w:ascii="仿宋" w:hAnsi="仿宋" w:eastAsia="仿宋"/>
                <w:szCs w:val="21"/>
              </w:rPr>
            </w:pPr>
            <w:r>
              <w:rPr>
                <w:rFonts w:hint="eastAsia" w:ascii="仿宋" w:hAnsi="仿宋" w:eastAsia="仿宋"/>
                <w:szCs w:val="21"/>
              </w:rPr>
              <w:t>（3）镇内公交试点开展情况；</w:t>
            </w:r>
          </w:p>
          <w:p>
            <w:pPr>
              <w:snapToGrid w:val="0"/>
              <w:rPr>
                <w:rFonts w:ascii="仿宋" w:hAnsi="仿宋" w:eastAsia="仿宋"/>
                <w:szCs w:val="21"/>
              </w:rPr>
            </w:pPr>
            <w:r>
              <w:rPr>
                <w:rFonts w:hint="eastAsia" w:ascii="仿宋" w:hAnsi="仿宋" w:eastAsia="仿宋"/>
                <w:szCs w:val="21"/>
              </w:rPr>
              <w:t>（4）农村客运服务和经营管理创新情况；</w:t>
            </w:r>
          </w:p>
          <w:p>
            <w:pPr>
              <w:snapToGrid w:val="0"/>
              <w:rPr>
                <w:rFonts w:ascii="仿宋" w:hAnsi="仿宋" w:eastAsia="仿宋"/>
                <w:szCs w:val="21"/>
              </w:rPr>
            </w:pPr>
            <w:r>
              <w:rPr>
                <w:rFonts w:hint="eastAsia" w:ascii="仿宋" w:hAnsi="仿宋" w:eastAsia="仿宋"/>
                <w:szCs w:val="21"/>
              </w:rPr>
              <w:t>（5）</w:t>
            </w:r>
            <w:r>
              <w:rPr>
                <w:rFonts w:hint="eastAsia" w:ascii="仿宋_GB2312" w:hAnsi="仿宋_GB2312" w:eastAsia="仿宋_GB2312" w:cs="仿宋_GB2312"/>
                <w:bCs/>
                <w:color w:val="000000"/>
                <w:szCs w:val="21"/>
              </w:rPr>
              <w:t>城乡客运服务质量考核和奖惩机制建设和实施情况。</w:t>
            </w:r>
          </w:p>
        </w:tc>
        <w:tc>
          <w:tcPr>
            <w:tcW w:w="677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满分70分</w:t>
            </w:r>
          </w:p>
          <w:p>
            <w:pPr>
              <w:snapToGrid w:val="0"/>
              <w:jc w:val="left"/>
              <w:rPr>
                <w:rFonts w:ascii="仿宋" w:hAnsi="仿宋" w:eastAsia="仿宋"/>
                <w:szCs w:val="21"/>
              </w:rPr>
            </w:pPr>
            <w:r>
              <w:rPr>
                <w:rFonts w:hint="eastAsia" w:ascii="仿宋" w:hAnsi="仿宋" w:eastAsia="仿宋"/>
                <w:szCs w:val="21"/>
              </w:rPr>
              <w:t>（1）完成公交专用道规划、初步设计等前期工作的，得10分；完成《实施方案》确定的公交专用道建设工程的，得10分。未完成建设目标的，按照实际完成比例进行折算计分。</w:t>
            </w:r>
          </w:p>
          <w:p>
            <w:pPr>
              <w:snapToGrid w:val="0"/>
              <w:jc w:val="left"/>
              <w:rPr>
                <w:rFonts w:ascii="仿宋" w:hAnsi="仿宋" w:eastAsia="仿宋"/>
                <w:szCs w:val="21"/>
              </w:rPr>
            </w:pPr>
            <w:r>
              <w:rPr>
                <w:rFonts w:hint="eastAsia" w:ascii="仿宋" w:hAnsi="仿宋" w:eastAsia="仿宋"/>
                <w:szCs w:val="21"/>
              </w:rPr>
              <w:t>（2）完成《实施方案》确定的新增和优化公交线路发展计划的，得20分。</w:t>
            </w:r>
          </w:p>
          <w:p>
            <w:pPr>
              <w:snapToGrid w:val="0"/>
              <w:jc w:val="left"/>
              <w:rPr>
                <w:rFonts w:ascii="仿宋" w:hAnsi="仿宋" w:eastAsia="仿宋"/>
                <w:szCs w:val="21"/>
              </w:rPr>
            </w:pPr>
            <w:r>
              <w:rPr>
                <w:rFonts w:hint="eastAsia" w:ascii="仿宋" w:hAnsi="仿宋" w:eastAsia="仿宋"/>
                <w:szCs w:val="21"/>
              </w:rPr>
              <w:t>（3）开展镇内公交试点项目的，得10分；</w:t>
            </w:r>
          </w:p>
          <w:p>
            <w:pPr>
              <w:snapToGrid w:val="0"/>
              <w:jc w:val="left"/>
              <w:rPr>
                <w:rFonts w:ascii="仿宋" w:hAnsi="仿宋" w:eastAsia="仿宋"/>
                <w:szCs w:val="21"/>
              </w:rPr>
            </w:pPr>
            <w:r>
              <w:rPr>
                <w:rFonts w:hint="eastAsia" w:ascii="仿宋" w:hAnsi="仿宋" w:eastAsia="仿宋"/>
                <w:szCs w:val="21"/>
              </w:rPr>
              <w:t>（4）探索灵活多元的农村客运服务和经营管理模式的，得10分；</w:t>
            </w:r>
          </w:p>
          <w:p>
            <w:pPr>
              <w:snapToGrid w:val="0"/>
              <w:jc w:val="left"/>
              <w:rPr>
                <w:rFonts w:ascii="仿宋" w:hAnsi="仿宋" w:eastAsia="仿宋"/>
                <w:b/>
                <w:szCs w:val="21"/>
              </w:rPr>
            </w:pPr>
            <w:r>
              <w:rPr>
                <w:rFonts w:hint="eastAsia" w:ascii="仿宋" w:hAnsi="仿宋" w:eastAsia="仿宋"/>
                <w:szCs w:val="21"/>
              </w:rPr>
              <w:t>（5）编制完成潮州市城乡客运服务质量考核办法的，得5分；实施开展服务质量考核的，得5分。</w:t>
            </w:r>
          </w:p>
        </w:tc>
        <w:tc>
          <w:tcPr>
            <w:tcW w:w="28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（1）技术验收组书面核查公交专用道建设任务完成进度表及相关证明材料；暗访评估组现场勘查城市公交专用道建设和管理情况。</w:t>
            </w:r>
          </w:p>
          <w:p>
            <w:pPr>
              <w:snapToGrid w:val="0"/>
              <w:rPr>
                <w:rFonts w:ascii="仿宋" w:hAnsi="仿宋" w:eastAsia="仿宋"/>
                <w:szCs w:val="21"/>
              </w:rPr>
            </w:pPr>
            <w:r>
              <w:rPr>
                <w:rFonts w:hint="eastAsia" w:ascii="仿宋" w:hAnsi="仿宋" w:eastAsia="仿宋"/>
                <w:szCs w:val="21"/>
              </w:rPr>
              <w:t>（2）技术验收组书面核查线路新增和优化调整汇总表、镇内公交开行试点方案和线路信息、灵活多元的农村客运经营方案或批复文件及相关证明材料。</w:t>
            </w:r>
          </w:p>
          <w:p>
            <w:pPr>
              <w:snapToGrid w:val="0"/>
              <w:rPr>
                <w:rFonts w:ascii="仿宋" w:hAnsi="仿宋" w:eastAsia="仿宋"/>
                <w:szCs w:val="21"/>
              </w:rPr>
            </w:pPr>
            <w:r>
              <w:rPr>
                <w:rFonts w:hint="eastAsia" w:ascii="仿宋" w:hAnsi="仿宋" w:eastAsia="仿宋"/>
                <w:szCs w:val="21"/>
              </w:rPr>
              <w:t>（3）技术验收组书面核查服务质量考核办法文件以及实施开展的证明材料。</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（1）提供公交专用道建设汇总表（含道路名称、里程、工程进度、完成时间等）及公交专用道规划、初步设计、验收等相关证明材料；</w:t>
            </w:r>
          </w:p>
          <w:p>
            <w:pPr>
              <w:snapToGrid w:val="0"/>
              <w:rPr>
                <w:rFonts w:ascii="仿宋" w:hAnsi="仿宋" w:eastAsia="仿宋"/>
                <w:szCs w:val="21"/>
              </w:rPr>
            </w:pPr>
            <w:r>
              <w:rPr>
                <w:rFonts w:hint="eastAsia" w:ascii="仿宋" w:hAnsi="仿宋" w:eastAsia="仿宋"/>
                <w:szCs w:val="21"/>
              </w:rPr>
              <w:t>（2）提供线路新增和优化调整汇总表和批复文件、镇内公交开行试点方案和线路信息、灵活多元的农村客运经营方案或批复文件及相关证明材料。</w:t>
            </w:r>
          </w:p>
          <w:p>
            <w:pPr>
              <w:snapToGrid w:val="0"/>
              <w:rPr>
                <w:rFonts w:ascii="仿宋" w:hAnsi="仿宋" w:eastAsia="仿宋"/>
                <w:szCs w:val="21"/>
              </w:rPr>
            </w:pPr>
            <w:r>
              <w:rPr>
                <w:rFonts w:hint="eastAsia" w:ascii="仿宋" w:hAnsi="仿宋" w:eastAsia="仿宋"/>
                <w:szCs w:val="21"/>
              </w:rPr>
              <w:t>（3）提供服务质量考核办法文件、印发通知以及实施开展的证明材料。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2.3</w:t>
            </w:r>
          </w:p>
        </w:tc>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大力推进绿色智能发展</w:t>
            </w:r>
          </w:p>
        </w:tc>
        <w:tc>
          <w:tcPr>
            <w:tcW w:w="216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（1）智能公交系统建设完成情况和实施效果；</w:t>
            </w:r>
          </w:p>
          <w:p>
            <w:pPr>
              <w:snapToGrid w:val="0"/>
              <w:jc w:val="left"/>
              <w:rPr>
                <w:rFonts w:ascii="仿宋" w:hAnsi="仿宋" w:eastAsia="仿宋"/>
                <w:szCs w:val="21"/>
              </w:rPr>
            </w:pPr>
            <w:r>
              <w:rPr>
                <w:rFonts w:hint="eastAsia" w:ascii="仿宋" w:hAnsi="仿宋" w:eastAsia="仿宋"/>
                <w:szCs w:val="21"/>
              </w:rPr>
              <w:t>（2）岭南通公交IC卡推广应用情况；</w:t>
            </w:r>
          </w:p>
          <w:p>
            <w:pPr>
              <w:snapToGrid w:val="0"/>
              <w:jc w:val="left"/>
              <w:rPr>
                <w:rFonts w:ascii="仿宋" w:hAnsi="仿宋" w:eastAsia="仿宋"/>
                <w:szCs w:val="21"/>
              </w:rPr>
            </w:pPr>
            <w:r>
              <w:rPr>
                <w:rFonts w:hint="eastAsia" w:ascii="仿宋" w:hAnsi="仿宋" w:eastAsia="仿宋"/>
                <w:szCs w:val="21"/>
              </w:rPr>
              <w:t>（3）新能源和清洁能源车辆推广应用和加气充电设施建设完成情况；</w:t>
            </w:r>
          </w:p>
          <w:p>
            <w:pPr>
              <w:snapToGrid w:val="0"/>
              <w:jc w:val="left"/>
              <w:rPr>
                <w:rFonts w:ascii="仿宋" w:hAnsi="仿宋" w:eastAsia="仿宋"/>
                <w:szCs w:val="21"/>
              </w:rPr>
            </w:pPr>
            <w:r>
              <w:rPr>
                <w:rFonts w:hint="eastAsia" w:ascii="仿宋" w:hAnsi="仿宋" w:eastAsia="仿宋"/>
                <w:szCs w:val="21"/>
              </w:rPr>
              <w:t>（4）城乡公共交通应急预案编制完成和应急演练情况。</w:t>
            </w:r>
          </w:p>
        </w:tc>
        <w:tc>
          <w:tcPr>
            <w:tcW w:w="677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满分70分</w:t>
            </w:r>
          </w:p>
          <w:p>
            <w:pPr>
              <w:snapToGrid w:val="0"/>
              <w:jc w:val="left"/>
              <w:rPr>
                <w:rFonts w:ascii="仿宋" w:hAnsi="仿宋" w:eastAsia="仿宋"/>
                <w:szCs w:val="21"/>
              </w:rPr>
            </w:pPr>
            <w:r>
              <w:rPr>
                <w:rFonts w:hint="eastAsia" w:ascii="仿宋" w:hAnsi="仿宋" w:eastAsia="仿宋"/>
                <w:szCs w:val="21"/>
              </w:rPr>
              <w:t>（1）建成潮州市智能公共交通管理系统，实现对企业公交调度运营、公交运营安全管理、公众公交出行信息与规划以及出租车运营等进行综合协调管理的，得20分，缺少一项上述功能的，扣5分。</w:t>
            </w:r>
          </w:p>
          <w:p>
            <w:pPr>
              <w:snapToGrid w:val="0"/>
              <w:jc w:val="left"/>
              <w:rPr>
                <w:rFonts w:ascii="仿宋" w:hAnsi="仿宋" w:eastAsia="仿宋"/>
                <w:szCs w:val="21"/>
              </w:rPr>
            </w:pPr>
            <w:r>
              <w:rPr>
                <w:rFonts w:hint="eastAsia" w:ascii="仿宋" w:hAnsi="仿宋" w:eastAsia="仿宋"/>
                <w:szCs w:val="21"/>
              </w:rPr>
              <w:t>（2）实现全市城乡客运车辆智能交通系统全覆盖的，得10分，未完成目标的，按照实际完成比例折算计分。</w:t>
            </w:r>
          </w:p>
          <w:p>
            <w:pPr>
              <w:snapToGrid w:val="0"/>
              <w:jc w:val="left"/>
              <w:rPr>
                <w:rFonts w:ascii="仿宋" w:hAnsi="仿宋" w:eastAsia="仿宋"/>
                <w:szCs w:val="21"/>
              </w:rPr>
            </w:pPr>
            <w:r>
              <w:rPr>
                <w:rFonts w:hint="eastAsia" w:ascii="仿宋" w:hAnsi="仿宋" w:eastAsia="仿宋"/>
                <w:szCs w:val="21"/>
              </w:rPr>
              <w:t>（3）创建期示范区内所有新增和更新的城乡客运车辆100%安装使用岭南通公交IC卡的，得10分，未完成目标的，按照实际完成比例折算计分。</w:t>
            </w:r>
          </w:p>
          <w:p>
            <w:pPr>
              <w:snapToGrid w:val="0"/>
              <w:jc w:val="left"/>
              <w:rPr>
                <w:rFonts w:ascii="仿宋" w:hAnsi="仿宋" w:eastAsia="仿宋"/>
                <w:szCs w:val="21"/>
              </w:rPr>
            </w:pPr>
            <w:r>
              <w:rPr>
                <w:rFonts w:hint="eastAsia" w:ascii="仿宋" w:hAnsi="仿宋" w:eastAsia="仿宋"/>
                <w:szCs w:val="21"/>
              </w:rPr>
              <w:t>（4）新建两个以上公交加气站的，得20分；因新能源公交车政策调整影响，若建设新能源公交充电站的，按照实际建设数量等量抵扣LNG公交车加气站新增计划；</w:t>
            </w:r>
          </w:p>
          <w:p>
            <w:pPr>
              <w:snapToGrid w:val="0"/>
              <w:jc w:val="left"/>
              <w:rPr>
                <w:rFonts w:ascii="仿宋" w:hAnsi="仿宋" w:eastAsia="仿宋"/>
                <w:b/>
                <w:szCs w:val="21"/>
              </w:rPr>
            </w:pPr>
            <w:r>
              <w:rPr>
                <w:rFonts w:hint="eastAsia" w:ascii="仿宋" w:hAnsi="仿宋" w:eastAsia="仿宋"/>
                <w:szCs w:val="21"/>
              </w:rPr>
              <w:t>（5）建立健全城乡公共交通安全应急预案并定期组织演练的，得10分。</w:t>
            </w:r>
          </w:p>
        </w:tc>
        <w:tc>
          <w:tcPr>
            <w:tcW w:w="28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（1）技术验收组书面核查城市公交信息化系统（若部分系统单独建设的，应单独列项）建设方案、建设任务进度表及相关证明材料；</w:t>
            </w:r>
          </w:p>
          <w:p>
            <w:pPr>
              <w:snapToGrid w:val="0"/>
              <w:jc w:val="left"/>
              <w:rPr>
                <w:rFonts w:ascii="仿宋" w:hAnsi="仿宋" w:eastAsia="仿宋"/>
                <w:szCs w:val="21"/>
              </w:rPr>
            </w:pPr>
            <w:r>
              <w:rPr>
                <w:rFonts w:hint="eastAsia" w:ascii="仿宋" w:hAnsi="仿宋" w:eastAsia="仿宋"/>
                <w:szCs w:val="21"/>
              </w:rPr>
              <w:t>（2）技术验收组书面核查城乡客运车辆智能交通系统统一管理情况及相关证明材料；</w:t>
            </w:r>
          </w:p>
          <w:p>
            <w:pPr>
              <w:snapToGrid w:val="0"/>
              <w:jc w:val="left"/>
              <w:rPr>
                <w:rFonts w:ascii="仿宋" w:hAnsi="仿宋" w:eastAsia="仿宋"/>
                <w:szCs w:val="21"/>
              </w:rPr>
            </w:pPr>
            <w:r>
              <w:rPr>
                <w:rFonts w:hint="eastAsia" w:ascii="仿宋" w:hAnsi="仿宋" w:eastAsia="仿宋"/>
                <w:szCs w:val="21"/>
              </w:rPr>
              <w:t>（3）技术验收组书面核查城乡客运车辆安装使用岭南通公交IC卡情况及相关证明材料；</w:t>
            </w:r>
          </w:p>
          <w:p>
            <w:pPr>
              <w:snapToGrid w:val="0"/>
              <w:jc w:val="left"/>
              <w:rPr>
                <w:rFonts w:ascii="仿宋" w:hAnsi="仿宋" w:eastAsia="仿宋"/>
                <w:szCs w:val="21"/>
              </w:rPr>
            </w:pPr>
            <w:r>
              <w:rPr>
                <w:rFonts w:hint="eastAsia" w:ascii="仿宋" w:hAnsi="仿宋" w:eastAsia="仿宋"/>
                <w:szCs w:val="21"/>
              </w:rPr>
              <w:t>（4）技术验收组书面核查新能源和清洁能源充电加气设施建设汇总表及相关证明材料；</w:t>
            </w:r>
          </w:p>
          <w:p>
            <w:pPr>
              <w:snapToGrid w:val="0"/>
              <w:jc w:val="left"/>
              <w:rPr>
                <w:rFonts w:ascii="仿宋" w:hAnsi="仿宋" w:eastAsia="仿宋"/>
                <w:szCs w:val="21"/>
              </w:rPr>
            </w:pPr>
            <w:r>
              <w:rPr>
                <w:rFonts w:hint="eastAsia" w:ascii="仿宋" w:hAnsi="仿宋" w:eastAsia="仿宋"/>
                <w:szCs w:val="21"/>
              </w:rPr>
              <w:t>（5）技术验收组书面核查城乡公共交通应急预案及批复文件和演练情况证明材料。</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（1）提供城市公交信息化系统建设任务进度表（系统名称、主要功能、建设进度、完成时间等）；以及城市公交信息化系统建设方案、项目前期资料和验收材料等相关证明材料。</w:t>
            </w:r>
          </w:p>
          <w:p>
            <w:pPr>
              <w:snapToGrid w:val="0"/>
              <w:rPr>
                <w:rFonts w:ascii="仿宋" w:hAnsi="仿宋" w:eastAsia="仿宋"/>
                <w:szCs w:val="21"/>
              </w:rPr>
            </w:pPr>
            <w:r>
              <w:rPr>
                <w:rFonts w:hint="eastAsia" w:ascii="仿宋" w:hAnsi="仿宋" w:eastAsia="仿宋"/>
                <w:szCs w:val="21"/>
              </w:rPr>
              <w:t>（2）提供纳入全市城乡客运车辆智能交通系统的车辆明细表以及占全市城乡客运车辆比重的证明材料；</w:t>
            </w:r>
          </w:p>
          <w:p>
            <w:pPr>
              <w:snapToGrid w:val="0"/>
              <w:rPr>
                <w:rFonts w:ascii="仿宋" w:hAnsi="仿宋" w:eastAsia="仿宋"/>
                <w:szCs w:val="21"/>
              </w:rPr>
            </w:pPr>
            <w:r>
              <w:rPr>
                <w:rFonts w:hint="eastAsia" w:ascii="仿宋" w:hAnsi="仿宋" w:eastAsia="仿宋"/>
                <w:szCs w:val="21"/>
              </w:rPr>
              <w:t>（3）提供城乡客运车辆岭南通公交IC卡安装使用汇总表及相关证明材料；</w:t>
            </w:r>
          </w:p>
          <w:p>
            <w:pPr>
              <w:snapToGrid w:val="0"/>
              <w:jc w:val="left"/>
              <w:rPr>
                <w:rFonts w:ascii="仿宋" w:hAnsi="仿宋" w:eastAsia="仿宋"/>
                <w:szCs w:val="21"/>
              </w:rPr>
            </w:pPr>
            <w:r>
              <w:rPr>
                <w:rFonts w:hint="eastAsia" w:ascii="仿宋" w:hAnsi="仿宋" w:eastAsia="仿宋"/>
                <w:szCs w:val="21"/>
              </w:rPr>
              <w:t>（4）提供新能源和清洁能源充电加气设施建设汇总表（含名称、地址、规模、完成进度、建设时间等）及相关证明材料；</w:t>
            </w:r>
          </w:p>
          <w:p>
            <w:pPr>
              <w:snapToGrid w:val="0"/>
              <w:rPr>
                <w:rFonts w:ascii="仿宋" w:hAnsi="仿宋" w:eastAsia="仿宋"/>
                <w:szCs w:val="21"/>
              </w:rPr>
            </w:pPr>
            <w:r>
              <w:rPr>
                <w:rFonts w:hint="eastAsia" w:ascii="仿宋" w:hAnsi="仿宋" w:eastAsia="仿宋"/>
                <w:szCs w:val="21"/>
              </w:rPr>
              <w:t>（5）提升城乡公共交通应急预案及批复文件和演练情况证明材料。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jc w:val="center"/>
        </w:trPr>
        <w:tc>
          <w:tcPr>
            <w:tcW w:w="69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2.4</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支持</w:t>
            </w:r>
          </w:p>
          <w:p>
            <w:pPr>
              <w:snapToGrid w:val="0"/>
              <w:jc w:val="center"/>
              <w:rPr>
                <w:rFonts w:ascii="仿宋" w:hAnsi="仿宋" w:eastAsia="仿宋"/>
                <w:szCs w:val="21"/>
              </w:rPr>
            </w:pPr>
            <w:r>
              <w:rPr>
                <w:rFonts w:hint="eastAsia" w:ascii="仿宋" w:hAnsi="仿宋" w:eastAsia="仿宋"/>
                <w:szCs w:val="21"/>
              </w:rPr>
              <w:t>保障</w:t>
            </w:r>
          </w:p>
          <w:p>
            <w:pPr>
              <w:snapToGrid w:val="0"/>
              <w:jc w:val="center"/>
              <w:rPr>
                <w:rFonts w:ascii="仿宋" w:hAnsi="仿宋" w:eastAsia="仿宋"/>
                <w:szCs w:val="21"/>
              </w:rPr>
            </w:pPr>
            <w:r>
              <w:rPr>
                <w:rFonts w:hint="eastAsia" w:ascii="仿宋" w:hAnsi="仿宋" w:eastAsia="仿宋"/>
                <w:szCs w:val="21"/>
              </w:rPr>
              <w:t>落实</w:t>
            </w:r>
          </w:p>
          <w:p>
            <w:pPr>
              <w:snapToGrid w:val="0"/>
              <w:jc w:val="center"/>
              <w:rPr>
                <w:rFonts w:ascii="仿宋" w:hAnsi="仿宋" w:eastAsia="仿宋"/>
                <w:szCs w:val="21"/>
              </w:rPr>
            </w:pPr>
            <w:r>
              <w:rPr>
                <w:rFonts w:hint="eastAsia" w:ascii="仿宋" w:hAnsi="仿宋" w:eastAsia="仿宋"/>
                <w:szCs w:val="21"/>
              </w:rPr>
              <w:t>情况</w:t>
            </w:r>
          </w:p>
        </w:tc>
        <w:tc>
          <w:tcPr>
            <w:tcW w:w="216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（1）体制机制保障。成立市政府牵头，多部门组成的示范城市创建领导小组或具备相关职能的工作机制，并定期召开创建领导小组会议推动创建工作开展。</w:t>
            </w:r>
          </w:p>
        </w:tc>
        <w:tc>
          <w:tcPr>
            <w:tcW w:w="677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满分10分</w:t>
            </w:r>
          </w:p>
          <w:p>
            <w:pPr>
              <w:snapToGrid w:val="0"/>
              <w:jc w:val="left"/>
              <w:rPr>
                <w:rFonts w:ascii="仿宋" w:hAnsi="仿宋" w:eastAsia="仿宋"/>
                <w:szCs w:val="21"/>
              </w:rPr>
            </w:pPr>
            <w:r>
              <w:rPr>
                <w:rFonts w:hint="eastAsia" w:ascii="仿宋" w:hAnsi="仿宋" w:eastAsia="仿宋"/>
                <w:szCs w:val="21"/>
              </w:rPr>
              <w:t>（1）城市人民政府成立创建领导小组或具备相关职能的工作机制，且各部门职责分工明确的，得5分。</w:t>
            </w:r>
          </w:p>
          <w:p>
            <w:pPr>
              <w:snapToGrid w:val="0"/>
              <w:jc w:val="left"/>
              <w:rPr>
                <w:rFonts w:ascii="仿宋" w:hAnsi="仿宋" w:eastAsia="仿宋"/>
                <w:szCs w:val="21"/>
              </w:rPr>
            </w:pPr>
            <w:r>
              <w:rPr>
                <w:rFonts w:hint="eastAsia" w:ascii="仿宋" w:hAnsi="仿宋" w:eastAsia="仿宋"/>
                <w:szCs w:val="21"/>
              </w:rPr>
              <w:t>（2）创建领导小组定期或具备相关职能的工作机制，组织召开专题会议等推动创建工作的，得3分。</w:t>
            </w:r>
          </w:p>
          <w:p>
            <w:pPr>
              <w:snapToGrid w:val="0"/>
              <w:jc w:val="left"/>
              <w:rPr>
                <w:rFonts w:ascii="仿宋" w:hAnsi="仿宋" w:eastAsia="仿宋"/>
                <w:szCs w:val="21"/>
              </w:rPr>
            </w:pPr>
            <w:r>
              <w:rPr>
                <w:rFonts w:hint="eastAsia" w:ascii="仿宋" w:hAnsi="仿宋" w:eastAsia="仿宋"/>
                <w:szCs w:val="21"/>
              </w:rPr>
              <w:t>（3）制订《潮州市创建城乡客运一体化示范城市绩效考核方案》并实施的，得2分。</w:t>
            </w:r>
          </w:p>
        </w:tc>
        <w:tc>
          <w:tcPr>
            <w:tcW w:w="28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验收专家组书面核查示范城市组建创建领导小组或相关工作机制的文件材料，以及部署和推进示范城市创建工作的会议纪要、《考核方案》等证明材料。</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（1）提供城市人民政府建立示范城市创建领导小组或相关工作机制的文件材料；</w:t>
            </w:r>
          </w:p>
          <w:p>
            <w:pPr>
              <w:snapToGrid w:val="0"/>
              <w:jc w:val="left"/>
              <w:rPr>
                <w:rFonts w:ascii="仿宋" w:hAnsi="仿宋" w:eastAsia="仿宋"/>
                <w:szCs w:val="21"/>
              </w:rPr>
            </w:pPr>
            <w:r>
              <w:rPr>
                <w:rFonts w:hint="eastAsia" w:ascii="仿宋" w:hAnsi="仿宋" w:eastAsia="仿宋"/>
                <w:szCs w:val="21"/>
              </w:rPr>
              <w:t>（2）提供创建领导小组部署和推进示范城市创建工作的会议纪要等证明材。</w:t>
            </w:r>
          </w:p>
          <w:p>
            <w:pPr>
              <w:snapToGrid w:val="0"/>
              <w:jc w:val="left"/>
              <w:rPr>
                <w:rFonts w:ascii="仿宋" w:hAnsi="仿宋" w:eastAsia="仿宋"/>
                <w:szCs w:val="21"/>
              </w:rPr>
            </w:pPr>
            <w:r>
              <w:rPr>
                <w:rFonts w:hint="eastAsia" w:ascii="仿宋" w:hAnsi="仿宋" w:eastAsia="仿宋"/>
                <w:szCs w:val="21"/>
              </w:rPr>
              <w:t>（3）提供《考核方案》及实施证明材料。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16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（2）财政资金保障。省厅启动资金使用和管理情况；创建城市财政资金投入情况；市场资金投入情况。</w:t>
            </w:r>
          </w:p>
        </w:tc>
        <w:tc>
          <w:tcPr>
            <w:tcW w:w="677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满分30分</w:t>
            </w:r>
          </w:p>
          <w:p>
            <w:pPr>
              <w:snapToGrid w:val="0"/>
              <w:rPr>
                <w:rFonts w:ascii="仿宋" w:hAnsi="仿宋" w:eastAsia="仿宋"/>
                <w:szCs w:val="21"/>
              </w:rPr>
            </w:pPr>
            <w:r>
              <w:rPr>
                <w:rFonts w:hint="eastAsia" w:ascii="仿宋" w:hAnsi="仿宋" w:eastAsia="仿宋"/>
                <w:szCs w:val="21"/>
              </w:rPr>
              <w:t>（1）省厅启动资金全部投入示范创建工作，且使用和管理规范的，得10分。</w:t>
            </w:r>
          </w:p>
          <w:p>
            <w:pPr>
              <w:snapToGrid w:val="0"/>
              <w:rPr>
                <w:rFonts w:ascii="仿宋" w:hAnsi="仿宋" w:eastAsia="仿宋"/>
                <w:szCs w:val="21"/>
              </w:rPr>
            </w:pPr>
            <w:r>
              <w:rPr>
                <w:rFonts w:hint="eastAsia" w:ascii="仿宋" w:hAnsi="仿宋" w:eastAsia="仿宋"/>
                <w:szCs w:val="21"/>
              </w:rPr>
              <w:t>（2）按照《实施方案》确定的资金规模，落实财政配套资金的，得10分；未全额落实配套资金的，按照实际配套资金等比例折算计分。</w:t>
            </w:r>
          </w:p>
          <w:p>
            <w:pPr>
              <w:snapToGrid w:val="0"/>
              <w:jc w:val="left"/>
              <w:rPr>
                <w:rFonts w:ascii="仿宋" w:hAnsi="仿宋" w:eastAsia="仿宋"/>
                <w:szCs w:val="21"/>
              </w:rPr>
            </w:pPr>
            <w:r>
              <w:rPr>
                <w:rFonts w:hint="eastAsia" w:ascii="仿宋" w:hAnsi="仿宋" w:eastAsia="仿宋"/>
                <w:szCs w:val="21"/>
              </w:rPr>
              <w:t>（3）运用市场化方式解决公共交通示范城市创建资金需求的，得10分。</w:t>
            </w:r>
          </w:p>
        </w:tc>
        <w:tc>
          <w:tcPr>
            <w:tcW w:w="28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验收专家组书面核查省厅下达启动资金、市财政配套资金以及市场化方式解决创建资金需求等方面的说明和相关证明材料。</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（1）提供省厅下达示范城市创建启动资金使用情况说明及相关证明材料；</w:t>
            </w:r>
          </w:p>
          <w:p>
            <w:pPr>
              <w:snapToGrid w:val="0"/>
              <w:rPr>
                <w:rFonts w:ascii="仿宋" w:hAnsi="仿宋" w:eastAsia="仿宋"/>
                <w:szCs w:val="21"/>
              </w:rPr>
            </w:pPr>
            <w:r>
              <w:rPr>
                <w:rFonts w:hint="eastAsia" w:ascii="仿宋" w:hAnsi="仿宋" w:eastAsia="仿宋"/>
                <w:szCs w:val="21"/>
              </w:rPr>
              <w:t>（2）提供市财政配套资金说明及相关证明材料；</w:t>
            </w:r>
          </w:p>
          <w:p>
            <w:pPr>
              <w:snapToGrid w:val="0"/>
              <w:rPr>
                <w:rFonts w:ascii="仿宋" w:hAnsi="仿宋" w:eastAsia="仿宋"/>
                <w:szCs w:val="21"/>
              </w:rPr>
            </w:pPr>
            <w:r>
              <w:rPr>
                <w:rFonts w:hint="eastAsia" w:ascii="仿宋" w:hAnsi="仿宋" w:eastAsia="仿宋"/>
                <w:szCs w:val="21"/>
              </w:rPr>
              <w:t>（3）提供运用市场化方式解决创建资金需求的说明及相关证明材料。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16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（3）用地保障。公交场站用地规划衔接和落实情况。</w:t>
            </w:r>
          </w:p>
        </w:tc>
        <w:tc>
          <w:tcPr>
            <w:tcW w:w="677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满分10分</w:t>
            </w:r>
          </w:p>
          <w:p>
            <w:pPr>
              <w:snapToGrid w:val="0"/>
              <w:jc w:val="left"/>
              <w:rPr>
                <w:rFonts w:ascii="仿宋" w:hAnsi="仿宋" w:eastAsia="仿宋"/>
                <w:szCs w:val="21"/>
              </w:rPr>
            </w:pPr>
            <w:r>
              <w:rPr>
                <w:rFonts w:hint="eastAsia" w:ascii="仿宋" w:hAnsi="仿宋" w:eastAsia="仿宋"/>
                <w:szCs w:val="21"/>
              </w:rPr>
              <w:t>城乡客运一体化示范城市建设项目和城乡公共交通一体化规划确定的公交场站纳入城市控制性详细规划和土地利用总体规划的，得10分。</w:t>
            </w:r>
          </w:p>
        </w:tc>
        <w:tc>
          <w:tcPr>
            <w:tcW w:w="28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验收专家组书面核查公交场站用地优先方面的规划衔接等证明材料。</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提供公交场站用地优先相关规划衔接证明材料等。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5542" w:type="dxa"/>
            <w:gridSpan w:val="10"/>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napToGrid w:val="0"/>
              <w:rPr>
                <w:rFonts w:ascii="仿宋" w:hAnsi="仿宋" w:eastAsia="仿宋"/>
                <w:szCs w:val="21"/>
              </w:rPr>
            </w:pPr>
            <w:r>
              <w:rPr>
                <w:rFonts w:hint="eastAsia" w:ascii="仿宋" w:hAnsi="仿宋" w:eastAsia="仿宋"/>
                <w:b/>
                <w:szCs w:val="21"/>
              </w:rPr>
              <w:t>三、示范城市暗访评估（满分200分）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序号</w:t>
            </w:r>
          </w:p>
        </w:tc>
        <w:tc>
          <w:tcPr>
            <w:tcW w:w="552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创建内容</w:t>
            </w:r>
          </w:p>
        </w:tc>
        <w:tc>
          <w:tcPr>
            <w:tcW w:w="932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3.1</w:t>
            </w:r>
          </w:p>
        </w:tc>
        <w:tc>
          <w:tcPr>
            <w:tcW w:w="10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公交场站设施</w:t>
            </w:r>
          </w:p>
        </w:tc>
        <w:tc>
          <w:tcPr>
            <w:tcW w:w="4496"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根据实施方案中提出的公交场站设施建设计划，随机抽取已投入使用的公交枢纽站、首末站、停保场各1个进行考核评价。</w:t>
            </w:r>
          </w:p>
          <w:p>
            <w:pPr>
              <w:snapToGrid w:val="0"/>
              <w:jc w:val="left"/>
              <w:rPr>
                <w:rFonts w:ascii="仿宋" w:hAnsi="仿宋" w:eastAsia="仿宋"/>
                <w:szCs w:val="21"/>
              </w:rPr>
            </w:pPr>
            <w:r>
              <w:rPr>
                <w:rFonts w:hint="eastAsia" w:ascii="仿宋" w:hAnsi="仿宋" w:eastAsia="仿宋"/>
                <w:szCs w:val="21"/>
              </w:rPr>
              <w:t>（1）使用情况：验证是否已投入使用；</w:t>
            </w:r>
          </w:p>
          <w:p>
            <w:pPr>
              <w:snapToGrid w:val="0"/>
              <w:jc w:val="left"/>
              <w:rPr>
                <w:rFonts w:ascii="仿宋" w:hAnsi="仿宋" w:eastAsia="仿宋"/>
                <w:szCs w:val="21"/>
              </w:rPr>
            </w:pPr>
            <w:r>
              <w:rPr>
                <w:rFonts w:hint="eastAsia" w:ascii="仿宋" w:hAnsi="仿宋" w:eastAsia="仿宋"/>
                <w:szCs w:val="21"/>
              </w:rPr>
              <w:t>（2）功能效果：场站服务功能是否完善，使用效果良好。</w:t>
            </w:r>
          </w:p>
        </w:tc>
        <w:tc>
          <w:tcPr>
            <w:tcW w:w="9324"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满分60分</w:t>
            </w:r>
          </w:p>
          <w:p>
            <w:pPr>
              <w:snapToGrid w:val="0"/>
              <w:jc w:val="left"/>
              <w:rPr>
                <w:rFonts w:ascii="仿宋" w:hAnsi="仿宋" w:eastAsia="仿宋"/>
                <w:szCs w:val="21"/>
              </w:rPr>
            </w:pPr>
            <w:r>
              <w:rPr>
                <w:rFonts w:hint="eastAsia" w:ascii="仿宋" w:hAnsi="仿宋" w:eastAsia="仿宋"/>
                <w:szCs w:val="21"/>
              </w:rPr>
              <w:t>（1）使用情况：共30分。若随机抽取的公交枢纽站、首末站、停保场全部投入使用的，得30分；有1个未投入使用的，扣10分；</w:t>
            </w:r>
          </w:p>
          <w:p>
            <w:pPr>
              <w:snapToGrid w:val="0"/>
              <w:jc w:val="left"/>
              <w:rPr>
                <w:rFonts w:ascii="仿宋" w:hAnsi="仿宋" w:eastAsia="仿宋"/>
                <w:szCs w:val="21"/>
              </w:rPr>
            </w:pPr>
            <w:r>
              <w:rPr>
                <w:rFonts w:hint="eastAsia" w:ascii="仿宋" w:hAnsi="仿宋" w:eastAsia="仿宋"/>
                <w:szCs w:val="21"/>
              </w:rPr>
              <w:t>（2）功能效果：共30分。公交枢纽站、首末站、停保场等设施功能复合国家和行业有关标准规范要求的，得15分；安全管理、运营秩序、标志标识和卫生条件等体验良好的，得15分。</w:t>
            </w:r>
          </w:p>
          <w:p>
            <w:pPr>
              <w:snapToGrid w:val="0"/>
              <w:jc w:val="left"/>
              <w:rPr>
                <w:rFonts w:ascii="仿宋" w:hAnsi="仿宋" w:eastAsia="仿宋"/>
                <w:szCs w:val="21"/>
              </w:rPr>
            </w:pPr>
            <w:r>
              <w:rPr>
                <w:rFonts w:hint="eastAsia" w:ascii="仿宋" w:hAnsi="仿宋" w:eastAsia="仿宋"/>
                <w:szCs w:val="21"/>
              </w:rPr>
              <w:t>注：第（2）项对三个公交场站设施平均分配分值。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3.2</w:t>
            </w:r>
          </w:p>
        </w:tc>
        <w:tc>
          <w:tcPr>
            <w:tcW w:w="10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公交服务网络</w:t>
            </w:r>
          </w:p>
        </w:tc>
        <w:tc>
          <w:tcPr>
            <w:tcW w:w="4496"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据实施方案中提出的新增公交线网和农村客运公交化改造计划，随机抽取已开行的公交线路、农村客运公交化改造线路和镇内公交线路进行考核评价。</w:t>
            </w:r>
          </w:p>
          <w:p>
            <w:pPr>
              <w:snapToGrid w:val="0"/>
              <w:jc w:val="left"/>
              <w:rPr>
                <w:rFonts w:ascii="仿宋" w:hAnsi="仿宋" w:eastAsia="仿宋"/>
                <w:szCs w:val="21"/>
              </w:rPr>
            </w:pPr>
            <w:r>
              <w:rPr>
                <w:rFonts w:hint="eastAsia" w:ascii="仿宋" w:hAnsi="仿宋" w:eastAsia="仿宋"/>
                <w:szCs w:val="21"/>
              </w:rPr>
              <w:t>（1）使用情况：验证是否已投入运行；</w:t>
            </w:r>
          </w:p>
          <w:p>
            <w:pPr>
              <w:snapToGrid w:val="0"/>
              <w:jc w:val="left"/>
              <w:rPr>
                <w:rFonts w:ascii="仿宋" w:hAnsi="仿宋" w:eastAsia="仿宋"/>
                <w:szCs w:val="21"/>
              </w:rPr>
            </w:pPr>
            <w:r>
              <w:rPr>
                <w:rFonts w:hint="eastAsia" w:ascii="仿宋" w:hAnsi="仿宋" w:eastAsia="仿宋"/>
                <w:szCs w:val="21"/>
              </w:rPr>
              <w:t xml:space="preserve">（2）服务质量：设施设备配置、标志标识、司乘人员服务、车辆环境卫生、途中运行等。 </w:t>
            </w:r>
          </w:p>
        </w:tc>
        <w:tc>
          <w:tcPr>
            <w:tcW w:w="9324"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满分80分</w:t>
            </w:r>
          </w:p>
          <w:p>
            <w:pPr>
              <w:snapToGrid w:val="0"/>
              <w:jc w:val="left"/>
              <w:rPr>
                <w:rFonts w:ascii="仿宋" w:hAnsi="仿宋" w:eastAsia="仿宋"/>
                <w:szCs w:val="21"/>
              </w:rPr>
            </w:pPr>
            <w:r>
              <w:rPr>
                <w:rFonts w:hint="eastAsia" w:ascii="仿宋" w:hAnsi="仿宋" w:eastAsia="仿宋"/>
                <w:szCs w:val="21"/>
              </w:rPr>
              <w:t>（1）使用情况：若随机抽取的公交线路、农村客运公交化改造线路和镇内公交线路全部开通运行的，得30分；有1个未开通运营的，扣10分；</w:t>
            </w:r>
          </w:p>
          <w:p>
            <w:pPr>
              <w:snapToGrid w:val="0"/>
              <w:jc w:val="left"/>
              <w:rPr>
                <w:rFonts w:ascii="仿宋" w:hAnsi="仿宋" w:eastAsia="仿宋"/>
                <w:szCs w:val="21"/>
              </w:rPr>
            </w:pPr>
            <w:r>
              <w:rPr>
                <w:rFonts w:hint="eastAsia" w:ascii="仿宋" w:hAnsi="仿宋" w:eastAsia="仿宋"/>
                <w:szCs w:val="21"/>
              </w:rPr>
              <w:t>（2）车辆设施设备配置：车辆安全和服务设施设备配置符合国家有关标准规范，且使用完好的，得15分，有不符合的，发现1处扣1分；</w:t>
            </w:r>
          </w:p>
          <w:p>
            <w:pPr>
              <w:snapToGrid w:val="0"/>
              <w:jc w:val="left"/>
              <w:rPr>
                <w:rFonts w:ascii="仿宋" w:hAnsi="仿宋" w:eastAsia="仿宋"/>
                <w:szCs w:val="21"/>
              </w:rPr>
            </w:pPr>
            <w:r>
              <w:rPr>
                <w:rFonts w:hint="eastAsia" w:ascii="仿宋" w:hAnsi="仿宋" w:eastAsia="仿宋"/>
                <w:szCs w:val="21"/>
              </w:rPr>
              <w:t>（3）车辆标志标识设置：车辆按照规定公布运营线路图、价格表，张贴乘车规则和投诉电话等标志标识，且清晰完好的，得15分；有不符合的，发现1处扣1分；</w:t>
            </w:r>
          </w:p>
          <w:p>
            <w:pPr>
              <w:snapToGrid w:val="0"/>
              <w:jc w:val="left"/>
              <w:rPr>
                <w:rFonts w:ascii="仿宋" w:hAnsi="仿宋" w:eastAsia="仿宋"/>
                <w:szCs w:val="21"/>
              </w:rPr>
            </w:pPr>
            <w:r>
              <w:rPr>
                <w:rFonts w:hint="eastAsia" w:ascii="仿宋" w:hAnsi="仿宋" w:eastAsia="仿宋"/>
                <w:szCs w:val="21"/>
              </w:rPr>
              <w:t>（4）车辆司乘人员服务整洁，应对乘客问询，服务态度良好等，得5分；有不符合的，发现1处扣1分。</w:t>
            </w:r>
          </w:p>
          <w:p>
            <w:pPr>
              <w:snapToGrid w:val="0"/>
              <w:jc w:val="left"/>
              <w:rPr>
                <w:rFonts w:ascii="仿宋" w:hAnsi="仿宋" w:eastAsia="仿宋"/>
                <w:szCs w:val="21"/>
              </w:rPr>
            </w:pPr>
            <w:r>
              <w:rPr>
                <w:rFonts w:hint="eastAsia" w:ascii="仿宋" w:hAnsi="仿宋" w:eastAsia="仿宋"/>
                <w:szCs w:val="21"/>
              </w:rPr>
              <w:t>（5）车辆环境整洁卫生，得5分；有不符合的，发现1处扣1分。</w:t>
            </w:r>
          </w:p>
          <w:p>
            <w:pPr>
              <w:snapToGrid w:val="0"/>
              <w:jc w:val="left"/>
              <w:rPr>
                <w:rFonts w:ascii="仿宋" w:hAnsi="仿宋" w:eastAsia="仿宋"/>
                <w:szCs w:val="21"/>
              </w:rPr>
            </w:pPr>
            <w:r>
              <w:rPr>
                <w:rFonts w:hint="eastAsia" w:ascii="仿宋" w:hAnsi="仿宋" w:eastAsia="仿宋"/>
                <w:szCs w:val="21"/>
              </w:rPr>
              <w:t>（6）车辆运行平稳，按照站点播报到站信息和上下客等，得5分；有不符合的，发现1处扣1分。</w:t>
            </w:r>
          </w:p>
          <w:p>
            <w:pPr>
              <w:snapToGrid w:val="0"/>
              <w:jc w:val="left"/>
              <w:rPr>
                <w:rFonts w:ascii="仿宋" w:hAnsi="仿宋" w:eastAsia="仿宋"/>
                <w:szCs w:val="21"/>
              </w:rPr>
            </w:pPr>
            <w:r>
              <w:rPr>
                <w:rFonts w:hint="eastAsia" w:ascii="仿宋" w:hAnsi="仿宋" w:eastAsia="仿宋"/>
                <w:szCs w:val="21"/>
              </w:rPr>
              <w:t>（7）票制票价、发班密度、停靠站点与相关计划的一致性等，得5分；有不符合的，发现1处扣1分。</w:t>
            </w:r>
          </w:p>
          <w:p>
            <w:pPr>
              <w:snapToGrid w:val="0"/>
              <w:jc w:val="left"/>
              <w:rPr>
                <w:rFonts w:ascii="仿宋" w:hAnsi="仿宋" w:eastAsia="仿宋"/>
                <w:szCs w:val="21"/>
              </w:rPr>
            </w:pPr>
            <w:r>
              <w:rPr>
                <w:rFonts w:hint="eastAsia" w:ascii="仿宋" w:hAnsi="仿宋" w:eastAsia="仿宋"/>
                <w:szCs w:val="21"/>
              </w:rPr>
              <w:t>注：（2）-（7）各项对两条线路平均分配分值。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3.3</w:t>
            </w:r>
          </w:p>
        </w:tc>
        <w:tc>
          <w:tcPr>
            <w:tcW w:w="10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公共交通信息化服务</w:t>
            </w:r>
          </w:p>
        </w:tc>
        <w:tc>
          <w:tcPr>
            <w:tcW w:w="4496"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根据实施方案中提出的智能公交系统建设情况，随机抽取已投入使用的公交信息化服务项目进行考核评价。</w:t>
            </w:r>
          </w:p>
          <w:p>
            <w:pPr>
              <w:snapToGrid w:val="0"/>
              <w:jc w:val="left"/>
              <w:rPr>
                <w:rFonts w:ascii="仿宋" w:hAnsi="仿宋" w:eastAsia="仿宋"/>
                <w:szCs w:val="21"/>
              </w:rPr>
            </w:pPr>
            <w:r>
              <w:rPr>
                <w:rFonts w:hint="eastAsia" w:ascii="仿宋" w:hAnsi="仿宋" w:eastAsia="仿宋"/>
                <w:szCs w:val="21"/>
              </w:rPr>
              <w:t>（1）使用情况：验证是否已投入使用；</w:t>
            </w:r>
          </w:p>
          <w:p>
            <w:pPr>
              <w:snapToGrid w:val="0"/>
              <w:jc w:val="left"/>
              <w:rPr>
                <w:rFonts w:ascii="仿宋" w:hAnsi="仿宋" w:eastAsia="仿宋"/>
                <w:szCs w:val="21"/>
              </w:rPr>
            </w:pPr>
            <w:r>
              <w:rPr>
                <w:rFonts w:hint="eastAsia" w:ascii="仿宋" w:hAnsi="仿宋" w:eastAsia="仿宋"/>
                <w:szCs w:val="21"/>
              </w:rPr>
              <w:t>（2）使用效果：是否正常使用，提供信息准确。</w:t>
            </w:r>
          </w:p>
        </w:tc>
        <w:tc>
          <w:tcPr>
            <w:tcW w:w="9324"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满分30分</w:t>
            </w:r>
          </w:p>
          <w:p>
            <w:pPr>
              <w:snapToGrid w:val="0"/>
              <w:jc w:val="left"/>
              <w:rPr>
                <w:rFonts w:ascii="仿宋" w:hAnsi="仿宋" w:eastAsia="仿宋"/>
                <w:szCs w:val="21"/>
              </w:rPr>
            </w:pPr>
            <w:r>
              <w:rPr>
                <w:rFonts w:hint="eastAsia" w:ascii="仿宋" w:hAnsi="仿宋" w:eastAsia="仿宋"/>
                <w:szCs w:val="21"/>
              </w:rPr>
              <w:t>（1）通过手机APP、网站、公众号等方式随机抽取3条城乡客运线路，提供到站信息查询，并且信息准确无误的，得15分；有不符合的，发现1处扣5分。</w:t>
            </w:r>
          </w:p>
          <w:p>
            <w:pPr>
              <w:snapToGrid w:val="0"/>
              <w:jc w:val="left"/>
              <w:rPr>
                <w:rFonts w:ascii="仿宋" w:hAnsi="仿宋" w:eastAsia="仿宋"/>
                <w:szCs w:val="21"/>
              </w:rPr>
            </w:pPr>
            <w:r>
              <w:rPr>
                <w:rFonts w:hint="eastAsia" w:ascii="仿宋" w:hAnsi="仿宋" w:eastAsia="仿宋"/>
                <w:szCs w:val="21"/>
              </w:rPr>
              <w:t>（3）随机抽查5辆公交车辆，能够使用岭南通公交IC卡的，得15分；有不符合的，发现1处扣3分。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3.4</w:t>
            </w:r>
          </w:p>
        </w:tc>
        <w:tc>
          <w:tcPr>
            <w:tcW w:w="10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新能源公交车辆和充电设施</w:t>
            </w:r>
          </w:p>
        </w:tc>
        <w:tc>
          <w:tcPr>
            <w:tcW w:w="4496"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根据实施方案中提出的新能源公交车辆和充电加气建设计划，随机抽取已投入使用的新能源公交车5辆和1处充电站进行考核评价。</w:t>
            </w:r>
          </w:p>
          <w:p>
            <w:pPr>
              <w:snapToGrid w:val="0"/>
              <w:jc w:val="left"/>
              <w:rPr>
                <w:rFonts w:ascii="仿宋" w:hAnsi="仿宋" w:eastAsia="仿宋"/>
                <w:szCs w:val="21"/>
              </w:rPr>
            </w:pPr>
            <w:r>
              <w:rPr>
                <w:rFonts w:hint="eastAsia" w:ascii="仿宋" w:hAnsi="仿宋" w:eastAsia="仿宋"/>
                <w:szCs w:val="21"/>
              </w:rPr>
              <w:t>（1）使用情况：验证是否已投入使用；</w:t>
            </w:r>
          </w:p>
          <w:p>
            <w:pPr>
              <w:snapToGrid w:val="0"/>
              <w:jc w:val="left"/>
              <w:rPr>
                <w:rFonts w:ascii="仿宋" w:hAnsi="仿宋" w:eastAsia="仿宋"/>
                <w:szCs w:val="21"/>
              </w:rPr>
            </w:pPr>
            <w:r>
              <w:rPr>
                <w:rFonts w:hint="eastAsia" w:ascii="仿宋" w:hAnsi="仿宋" w:eastAsia="仿宋"/>
                <w:szCs w:val="21"/>
              </w:rPr>
              <w:t>（2）使用效果：是否满足停放车辆充电加气需求等。</w:t>
            </w:r>
          </w:p>
        </w:tc>
        <w:tc>
          <w:tcPr>
            <w:tcW w:w="9324"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满分30分</w:t>
            </w:r>
          </w:p>
          <w:p>
            <w:pPr>
              <w:snapToGrid w:val="0"/>
              <w:jc w:val="left"/>
              <w:rPr>
                <w:rFonts w:ascii="仿宋" w:hAnsi="仿宋" w:eastAsia="仿宋"/>
                <w:szCs w:val="21"/>
              </w:rPr>
            </w:pPr>
            <w:r>
              <w:rPr>
                <w:rFonts w:hint="eastAsia" w:ascii="仿宋" w:hAnsi="仿宋" w:eastAsia="仿宋"/>
                <w:szCs w:val="21"/>
              </w:rPr>
              <w:t>（1）使用情况：共20分。若随机抽取的新能源公交车为常规燃料车辆的，每辆扣2分，共10分；加气站、充电站未建成投入使用的，扣10分；</w:t>
            </w:r>
          </w:p>
          <w:p>
            <w:pPr>
              <w:snapToGrid w:val="0"/>
              <w:jc w:val="left"/>
              <w:rPr>
                <w:rFonts w:ascii="仿宋" w:hAnsi="仿宋" w:eastAsia="仿宋"/>
                <w:szCs w:val="21"/>
              </w:rPr>
            </w:pPr>
            <w:r>
              <w:rPr>
                <w:rFonts w:hint="eastAsia" w:ascii="仿宋" w:hAnsi="仿宋" w:eastAsia="仿宋"/>
                <w:szCs w:val="21"/>
              </w:rPr>
              <w:t>（2）使用效果：共10分。加气充电设施满足该场站停放车辆需求的，得10分。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5542" w:type="dxa"/>
            <w:gridSpan w:val="10"/>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napToGrid w:val="0"/>
              <w:rPr>
                <w:rFonts w:ascii="仿宋" w:hAnsi="仿宋" w:eastAsia="仿宋"/>
                <w:szCs w:val="21"/>
              </w:rPr>
            </w:pPr>
            <w:r>
              <w:rPr>
                <w:rFonts w:hint="eastAsia" w:ascii="仿宋" w:hAnsi="仿宋" w:eastAsia="仿宋"/>
                <w:b/>
                <w:szCs w:val="21"/>
              </w:rPr>
              <w:t>四、示范城市创建亮点（加分项：20分）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序号</w:t>
            </w:r>
          </w:p>
        </w:tc>
        <w:tc>
          <w:tcPr>
            <w:tcW w:w="298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创建内容</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计分标准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测评方法</w:t>
            </w:r>
          </w:p>
        </w:tc>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4.1</w:t>
            </w:r>
          </w:p>
        </w:tc>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打破城乡界限，</w:t>
            </w:r>
          </w:p>
          <w:p>
            <w:pPr>
              <w:snapToGrid w:val="0"/>
              <w:jc w:val="center"/>
              <w:rPr>
                <w:rFonts w:ascii="仿宋" w:hAnsi="仿宋" w:eastAsia="仿宋"/>
                <w:szCs w:val="21"/>
              </w:rPr>
            </w:pPr>
            <w:r>
              <w:rPr>
                <w:rFonts w:hint="eastAsia" w:ascii="仿宋" w:hAnsi="仿宋" w:eastAsia="仿宋"/>
                <w:szCs w:val="21"/>
              </w:rPr>
              <w:t>建设“全域公</w:t>
            </w:r>
          </w:p>
          <w:p>
            <w:pPr>
              <w:snapToGrid w:val="0"/>
              <w:jc w:val="center"/>
              <w:rPr>
                <w:rFonts w:ascii="仿宋" w:hAnsi="仿宋" w:eastAsia="仿宋"/>
                <w:szCs w:val="21"/>
              </w:rPr>
            </w:pPr>
            <w:r>
              <w:rPr>
                <w:rFonts w:hint="eastAsia" w:ascii="仿宋" w:hAnsi="仿宋" w:eastAsia="仿宋"/>
                <w:szCs w:val="21"/>
              </w:rPr>
              <w:t>交”</w:t>
            </w:r>
          </w:p>
        </w:tc>
        <w:tc>
          <w:tcPr>
            <w:tcW w:w="2162"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从规划、建设、管理、服务等多个角度实现城乡客运一体化发展，构建城乡间标准类似、水平相近的一体化客运服务体系。</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满分10分</w:t>
            </w:r>
          </w:p>
          <w:p>
            <w:pPr>
              <w:snapToGrid w:val="0"/>
              <w:jc w:val="left"/>
              <w:rPr>
                <w:rFonts w:ascii="仿宋" w:hAnsi="仿宋" w:eastAsia="仿宋"/>
                <w:szCs w:val="21"/>
              </w:rPr>
            </w:pPr>
            <w:r>
              <w:rPr>
                <w:rFonts w:hint="eastAsia" w:ascii="仿宋" w:hAnsi="仿宋" w:eastAsia="仿宋"/>
                <w:szCs w:val="21"/>
              </w:rPr>
              <w:t>潮州市打破城乡界限，建设“全域公交”方面做法符合潮州市居民出行特征，具有一定的创新性和推广应用价值的，得10分。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技术验收组书面核查创建期内潮州市打破城乡界限，建设“全域公交”方面的实施效果以及相关创新性、示范性等说明材料，综合评估其创新性、示范性和推广应用价值等。</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提供创建期内潮州市打破城乡界限，建设“全域公交”方面的实施效果以及相关创新性、示范性等说明材料。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4.2</w:t>
            </w:r>
          </w:p>
        </w:tc>
        <w:tc>
          <w:tcPr>
            <w:tcW w:w="82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探索民营经济参加城乡公共交通运营，营造良性竞争态势</w:t>
            </w:r>
          </w:p>
        </w:tc>
        <w:tc>
          <w:tcPr>
            <w:tcW w:w="216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szCs w:val="21"/>
              </w:rPr>
            </w:pPr>
            <w:r>
              <w:rPr>
                <w:rFonts w:hint="eastAsia" w:ascii="仿宋" w:hAnsi="仿宋" w:eastAsia="仿宋"/>
                <w:szCs w:val="21"/>
              </w:rPr>
              <w:t>针对潮州市民营经济发达的特点，探索积极引入有实力的民营企业进入公交运营市</w:t>
            </w:r>
          </w:p>
          <w:p>
            <w:pPr>
              <w:autoSpaceDE w:val="0"/>
              <w:autoSpaceDN w:val="0"/>
              <w:adjustRightInd w:val="0"/>
              <w:rPr>
                <w:rFonts w:ascii="仿宋" w:hAnsi="仿宋" w:eastAsia="仿宋"/>
                <w:szCs w:val="21"/>
              </w:rPr>
            </w:pPr>
            <w:r>
              <w:rPr>
                <w:rFonts w:hint="eastAsia" w:ascii="仿宋" w:hAnsi="仿宋" w:eastAsia="仿宋"/>
                <w:szCs w:val="21"/>
              </w:rPr>
              <w:t>场，同时通过招投标方式投放线路经营权，形成良性竞争态势，避免目前国有企业一家独大的经营模式，提高城乡客运可持续发展水平。</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满分10分</w:t>
            </w:r>
          </w:p>
          <w:p>
            <w:pPr>
              <w:snapToGrid w:val="0"/>
              <w:jc w:val="left"/>
              <w:rPr>
                <w:rFonts w:ascii="仿宋" w:hAnsi="仿宋" w:eastAsia="仿宋"/>
                <w:szCs w:val="21"/>
              </w:rPr>
            </w:pPr>
            <w:r>
              <w:rPr>
                <w:rFonts w:hint="eastAsia" w:ascii="仿宋" w:hAnsi="仿宋" w:eastAsia="仿宋"/>
                <w:szCs w:val="21"/>
              </w:rPr>
              <w:t>潮州市推进公共交通市场改革，探索民营经济参加城乡公共交通运营，营造良性竞争态势符合潮州公共交通发展实际，具有一定的创新性和推广应用价值的，得10分。</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技术验收组书面核查创建期内潮州市探索民营经济参加城乡公共交通运营，营造良性竞争态势等方面的实施效果以及相关创新性、示范性等说明材料，综合评估其创新性、示范性和推广应用价值等。</w:t>
            </w: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提供潮州市探索民营经济参加城乡公共交通运营，营造良性竞争态势等方面的实施效果以及相关创新性、示范性等说明材料。</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0926"/>
    <w:rsid w:val="00045F17"/>
    <w:rsid w:val="000E1BEA"/>
    <w:rsid w:val="003703BB"/>
    <w:rsid w:val="003F02BC"/>
    <w:rsid w:val="00400926"/>
    <w:rsid w:val="004F7C35"/>
    <w:rsid w:val="00502088"/>
    <w:rsid w:val="00603D26"/>
    <w:rsid w:val="00654642"/>
    <w:rsid w:val="006846BD"/>
    <w:rsid w:val="006903D2"/>
    <w:rsid w:val="006A4BED"/>
    <w:rsid w:val="00906FA9"/>
    <w:rsid w:val="00930EA5"/>
    <w:rsid w:val="00AF11E0"/>
    <w:rsid w:val="00AF7381"/>
    <w:rsid w:val="00BC4A04"/>
    <w:rsid w:val="00D3577E"/>
    <w:rsid w:val="00D81301"/>
    <w:rsid w:val="00F135F3"/>
    <w:rsid w:val="355F2C6B"/>
    <w:rsid w:val="686508A4"/>
    <w:rsid w:val="688C2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unhideWhenUsed/>
    <w:qFormat/>
    <w:uiPriority w:val="1"/>
    <w:pPr>
      <w:autoSpaceDE w:val="0"/>
      <w:autoSpaceDN w:val="0"/>
      <w:adjustRightInd w:val="0"/>
      <w:spacing w:before="60"/>
      <w:ind w:left="117"/>
      <w:jc w:val="left"/>
    </w:pPr>
    <w:rPr>
      <w:rFonts w:ascii="宋体" w:hAnsi="Times New Roman" w:eastAsia="宋体" w:cs="宋体"/>
      <w:kern w:val="0"/>
      <w:sz w:val="29"/>
      <w:szCs w:val="29"/>
    </w:rPr>
  </w:style>
  <w:style w:type="paragraph" w:styleId="3">
    <w:name w:val="Date"/>
    <w:basedOn w:val="1"/>
    <w:next w:val="1"/>
    <w:link w:val="14"/>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8"/>
    <w:link w:val="6"/>
    <w:uiPriority w:val="99"/>
    <w:rPr>
      <w:sz w:val="18"/>
      <w:szCs w:val="18"/>
    </w:rPr>
  </w:style>
  <w:style w:type="character" w:customStyle="1" w:styleId="12">
    <w:name w:val="页脚 Char"/>
    <w:basedOn w:val="8"/>
    <w:link w:val="5"/>
    <w:uiPriority w:val="99"/>
    <w:rPr>
      <w:sz w:val="18"/>
      <w:szCs w:val="18"/>
    </w:rPr>
  </w:style>
  <w:style w:type="character" w:customStyle="1" w:styleId="13">
    <w:name w:val="正文文本 Char"/>
    <w:basedOn w:val="8"/>
    <w:link w:val="2"/>
    <w:semiHidden/>
    <w:uiPriority w:val="1"/>
    <w:rPr>
      <w:rFonts w:ascii="宋体" w:hAnsi="Times New Roman" w:eastAsia="宋体" w:cs="宋体"/>
      <w:kern w:val="0"/>
      <w:sz w:val="29"/>
      <w:szCs w:val="29"/>
    </w:rPr>
  </w:style>
  <w:style w:type="character" w:customStyle="1" w:styleId="14">
    <w:name w:val="日期 Char"/>
    <w:basedOn w:val="8"/>
    <w:link w:val="3"/>
    <w:semiHidden/>
    <w:qFormat/>
    <w:uiPriority w:val="99"/>
  </w:style>
  <w:style w:type="character" w:customStyle="1" w:styleId="15">
    <w:name w:val="批注框文本 Char"/>
    <w:basedOn w:val="8"/>
    <w:link w:val="4"/>
    <w:semiHidden/>
    <w:qFormat/>
    <w:uiPriority w:val="99"/>
    <w:rPr>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5845</Words>
  <Characters>33321</Characters>
  <Lines>277</Lines>
  <Paragraphs>78</Paragraphs>
  <TotalTime>94</TotalTime>
  <ScaleCrop>false</ScaleCrop>
  <LinksUpToDate>false</LinksUpToDate>
  <CharactersWithSpaces>39088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2019-03-06T03:16:00Z</dcterms:created>
  <dc:creator>吉波</dc:creator>
  <cp:lastModifiedBy>胡坤鹏</cp:lastModifiedBy>
  <dcterms:modified xsi:type="dcterms:W3CDTF">2020-08-24T09:54:21Z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