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default" w:ascii="仿宋" w:hAnsi="仿宋" w:eastAsia="仿宋" w:cs="仿宋"/>
          <w:sz w:val="32"/>
          <w:szCs w:val="32"/>
          <w:u w:val="none"/>
          <w:lang w:val="en-US" w:eastAsia="zh-CN"/>
        </w:rPr>
      </w:pPr>
      <w:r>
        <w:rPr>
          <w:rFonts w:hint="eastAsia" w:ascii="黑体" w:hAnsi="黑体" w:eastAsia="黑体" w:cs="黑体"/>
          <w:sz w:val="32"/>
          <w:szCs w:val="32"/>
          <w:u w:val="none"/>
          <w:lang w:val="en-US" w:eastAsia="zh-CN"/>
        </w:rPr>
        <w:t>附件2</w:t>
      </w:r>
    </w:p>
    <w:p>
      <w:pPr>
        <w:bidi w:val="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高风险管控挂牌警示</w:t>
      </w:r>
    </w:p>
    <w:p>
      <w:pPr>
        <w:pStyle w:val="2"/>
        <w:jc w:val="cente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（2020年7月15日）</w:t>
      </w:r>
    </w:p>
    <w:tbl>
      <w:tblPr>
        <w:tblStyle w:val="7"/>
        <w:tblW w:w="1411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6"/>
        <w:gridCol w:w="1558"/>
        <w:gridCol w:w="1208"/>
        <w:gridCol w:w="3140"/>
        <w:gridCol w:w="1965"/>
        <w:gridCol w:w="1837"/>
        <w:gridCol w:w="2092"/>
        <w:gridCol w:w="15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78" w:hRule="atLeast"/>
          <w:tblHeader/>
          <w:jc w:val="center"/>
        </w:trPr>
        <w:tc>
          <w:tcPr>
            <w:tcW w:w="736"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vertAlign w:val="baseline"/>
                <w:lang w:eastAsia="zh-CN"/>
              </w:rPr>
              <w:t>序号</w:t>
            </w:r>
          </w:p>
        </w:tc>
        <w:tc>
          <w:tcPr>
            <w:tcW w:w="1558"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vertAlign w:val="baseline"/>
                <w:lang w:eastAsia="zh-CN"/>
              </w:rPr>
              <w:t>风险名称</w:t>
            </w:r>
          </w:p>
        </w:tc>
        <w:tc>
          <w:tcPr>
            <w:tcW w:w="1208"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vertAlign w:val="baseline"/>
                <w:lang w:eastAsia="zh-CN"/>
              </w:rPr>
              <w:t>风险类型</w:t>
            </w:r>
          </w:p>
        </w:tc>
        <w:tc>
          <w:tcPr>
            <w:tcW w:w="3140"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vertAlign w:val="baseline"/>
                <w:lang w:eastAsia="zh-CN"/>
              </w:rPr>
              <w:t>风险特征描述</w:t>
            </w:r>
          </w:p>
        </w:tc>
        <w:tc>
          <w:tcPr>
            <w:tcW w:w="1965"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vertAlign w:val="baseline"/>
                <w:lang w:eastAsia="zh-CN"/>
              </w:rPr>
              <w:t>风险位置</w:t>
            </w:r>
          </w:p>
        </w:tc>
        <w:tc>
          <w:tcPr>
            <w:tcW w:w="1837"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vertAlign w:val="baseline"/>
                <w:lang w:eastAsia="zh-CN"/>
              </w:rPr>
              <w:t>责任单位</w:t>
            </w:r>
          </w:p>
        </w:tc>
        <w:tc>
          <w:tcPr>
            <w:tcW w:w="2092"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vertAlign w:val="baseline"/>
                <w:lang w:eastAsia="zh-CN"/>
              </w:rPr>
              <w:t>监管单位</w:t>
            </w:r>
          </w:p>
        </w:tc>
        <w:tc>
          <w:tcPr>
            <w:tcW w:w="1583"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spacing w:before="0" w:after="0" w:line="360" w:lineRule="exact"/>
              <w:ind w:left="0" w:leftChars="0" w:right="0" w:rightChars="0" w:firstLine="0" w:firstLineChars="0"/>
              <w:jc w:val="center"/>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管控情况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427" w:hRule="atLeast"/>
          <w:jc w:val="center"/>
        </w:trPr>
        <w:tc>
          <w:tcPr>
            <w:tcW w:w="736" w:type="dxa"/>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1</w:t>
            </w:r>
          </w:p>
        </w:tc>
        <w:tc>
          <w:tcPr>
            <w:tcW w:w="1558" w:type="dxa"/>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琼州海峡轮渡运输全线停航</w:t>
            </w:r>
          </w:p>
        </w:tc>
        <w:tc>
          <w:tcPr>
            <w:tcW w:w="1208" w:type="dxa"/>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车辆滞留</w:t>
            </w:r>
          </w:p>
        </w:tc>
        <w:tc>
          <w:tcPr>
            <w:tcW w:w="3140" w:type="dxa"/>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琼州海峡轮渡运输受恶劣天气影响全线停航导致车辆大量滞留徐闻道路</w:t>
            </w:r>
          </w:p>
        </w:tc>
        <w:tc>
          <w:tcPr>
            <w:tcW w:w="1965" w:type="dxa"/>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0" w:firstLineChars="0"/>
              <w:jc w:val="left"/>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徐闻县进港道路沿线</w:t>
            </w:r>
          </w:p>
        </w:tc>
        <w:tc>
          <w:tcPr>
            <w:tcW w:w="1837" w:type="dxa"/>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广东徐闻港航控股有限公司；海安新港港务有限公司；广东徐闻海峡航运有限公司；海南铁路有限公司北港管理所；</w:t>
            </w:r>
          </w:p>
        </w:tc>
        <w:tc>
          <w:tcPr>
            <w:tcW w:w="2092" w:type="dxa"/>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徐闻县交通运输局；广东省海峡办</w:t>
            </w:r>
          </w:p>
        </w:tc>
        <w:tc>
          <w:tcPr>
            <w:tcW w:w="1583" w:type="dxa"/>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已制定道路车辆排队管控方案和复航后疏运应急预案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757" w:hRule="atLeast"/>
          <w:jc w:val="center"/>
        </w:trPr>
        <w:tc>
          <w:tcPr>
            <w:tcW w:w="736" w:type="dxa"/>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p>
        </w:tc>
        <w:tc>
          <w:tcPr>
            <w:tcW w:w="1558" w:type="dxa"/>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东莞市喜顺运输有限公司</w:t>
            </w:r>
          </w:p>
        </w:tc>
        <w:tc>
          <w:tcPr>
            <w:tcW w:w="1208" w:type="dxa"/>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车辆伤害</w:t>
            </w:r>
          </w:p>
        </w:tc>
        <w:tc>
          <w:tcPr>
            <w:tcW w:w="3140" w:type="dxa"/>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下属车辆超速次数多</w:t>
            </w:r>
          </w:p>
        </w:tc>
        <w:tc>
          <w:tcPr>
            <w:tcW w:w="1965" w:type="dxa"/>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东莞市东城区花园新村红荔路7号</w:t>
            </w:r>
          </w:p>
        </w:tc>
        <w:tc>
          <w:tcPr>
            <w:tcW w:w="1837" w:type="dxa"/>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东莞市喜顺运输有限公司</w:t>
            </w:r>
          </w:p>
        </w:tc>
        <w:tc>
          <w:tcPr>
            <w:tcW w:w="2092" w:type="dxa"/>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东莞市交通运输局</w:t>
            </w:r>
          </w:p>
        </w:tc>
        <w:tc>
          <w:tcPr>
            <w:tcW w:w="1583" w:type="dxa"/>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已制定管控方案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093" w:hRule="atLeast"/>
          <w:jc w:val="center"/>
        </w:trPr>
        <w:tc>
          <w:tcPr>
            <w:tcW w:w="736" w:type="dxa"/>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558" w:type="dxa"/>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开阳高速改扩建路段交通事故</w:t>
            </w:r>
          </w:p>
        </w:tc>
        <w:tc>
          <w:tcPr>
            <w:tcW w:w="1208" w:type="dxa"/>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拥堵、交通事故</w:t>
            </w:r>
          </w:p>
        </w:tc>
        <w:tc>
          <w:tcPr>
            <w:tcW w:w="3140" w:type="dxa"/>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改扩建高速公路对车辆通行安全的防控不足引发交通事故</w:t>
            </w:r>
          </w:p>
        </w:tc>
        <w:tc>
          <w:tcPr>
            <w:tcW w:w="1965" w:type="dxa"/>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开阳高速阳江段</w:t>
            </w:r>
          </w:p>
        </w:tc>
        <w:tc>
          <w:tcPr>
            <w:tcW w:w="1837" w:type="dxa"/>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开阳高速扩建业主单位</w:t>
            </w:r>
          </w:p>
        </w:tc>
        <w:tc>
          <w:tcPr>
            <w:tcW w:w="2092" w:type="dxa"/>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省交通集团020-29006300</w:t>
            </w:r>
          </w:p>
        </w:tc>
        <w:tc>
          <w:tcPr>
            <w:tcW w:w="1583" w:type="dxa"/>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已制定管控方案（公安厅、交通运输厅已联合发文制定相关措施）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110" w:hRule="atLeast"/>
          <w:jc w:val="center"/>
        </w:trPr>
        <w:tc>
          <w:tcPr>
            <w:tcW w:w="736" w:type="dxa"/>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558" w:type="dxa"/>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汕头市汽车客运总公司</w:t>
            </w:r>
          </w:p>
        </w:tc>
        <w:tc>
          <w:tcPr>
            <w:tcW w:w="1208" w:type="dxa"/>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车辆伤害</w:t>
            </w:r>
          </w:p>
        </w:tc>
        <w:tc>
          <w:tcPr>
            <w:tcW w:w="3140" w:type="dxa"/>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下属车辆违法总量多，车均违法比例高</w:t>
            </w:r>
          </w:p>
        </w:tc>
        <w:tc>
          <w:tcPr>
            <w:tcW w:w="1965" w:type="dxa"/>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汕头市潮汕路2号</w:t>
            </w:r>
          </w:p>
        </w:tc>
        <w:tc>
          <w:tcPr>
            <w:tcW w:w="1837" w:type="dxa"/>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汕头市汽车客运总公司</w:t>
            </w:r>
          </w:p>
        </w:tc>
        <w:tc>
          <w:tcPr>
            <w:tcW w:w="2092" w:type="dxa"/>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汕头市交通运输局</w:t>
            </w:r>
          </w:p>
        </w:tc>
        <w:tc>
          <w:tcPr>
            <w:tcW w:w="1583" w:type="dxa"/>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已制定管控方案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293" w:hRule="atLeast"/>
          <w:jc w:val="center"/>
        </w:trPr>
        <w:tc>
          <w:tcPr>
            <w:tcW w:w="736" w:type="dxa"/>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558" w:type="dxa"/>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广东省湛江市交通运输集团客运有限公司</w:t>
            </w:r>
          </w:p>
        </w:tc>
        <w:tc>
          <w:tcPr>
            <w:tcW w:w="1208" w:type="dxa"/>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车辆伤害</w:t>
            </w:r>
          </w:p>
        </w:tc>
        <w:tc>
          <w:tcPr>
            <w:tcW w:w="3140" w:type="dxa"/>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下属车辆</w:t>
            </w:r>
            <w:bookmarkStart w:id="0" w:name="_GoBack"/>
            <w:bookmarkEnd w:id="0"/>
            <w:r>
              <w:rPr>
                <w:rFonts w:hint="eastAsia" w:ascii="仿宋_GB2312" w:hAnsi="仿宋_GB2312" w:eastAsia="仿宋_GB2312" w:cs="仿宋_GB2312"/>
                <w:sz w:val="24"/>
                <w:szCs w:val="24"/>
                <w:lang w:val="en-US" w:eastAsia="zh-CN"/>
              </w:rPr>
              <w:t>违法总量多，车均违法比例高</w:t>
            </w:r>
          </w:p>
        </w:tc>
        <w:tc>
          <w:tcPr>
            <w:tcW w:w="1965" w:type="dxa"/>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湛江市赤坎区民生路2号恒福名苑B幢二楼</w:t>
            </w:r>
          </w:p>
        </w:tc>
        <w:tc>
          <w:tcPr>
            <w:tcW w:w="1837" w:type="dxa"/>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广东省湛江市交通运输集团客运有限公司</w:t>
            </w:r>
          </w:p>
        </w:tc>
        <w:tc>
          <w:tcPr>
            <w:tcW w:w="2092" w:type="dxa"/>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湛江市交通运输局</w:t>
            </w:r>
          </w:p>
        </w:tc>
        <w:tc>
          <w:tcPr>
            <w:tcW w:w="1583" w:type="dxa"/>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已制定管控方案</w:t>
            </w:r>
          </w:p>
        </w:tc>
      </w:tr>
    </w:tbl>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0" w:firstLineChars="0"/>
        <w:jc w:val="left"/>
        <w:textAlignment w:val="auto"/>
        <w:outlineLvl w:val="9"/>
        <w:rPr>
          <w:rFonts w:hint="eastAsia" w:ascii="仿宋_GB2312" w:hAnsi="仿宋_GB2312" w:eastAsia="仿宋_GB2312" w:cs="仿宋_GB2312"/>
          <w:sz w:val="24"/>
          <w:szCs w:val="24"/>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44"/>
                              <w:lang w:val="en-US" w:eastAsia="zh-CN"/>
                            </w:rPr>
                          </w:pPr>
                          <w:r>
                            <w:rPr>
                              <w:rFonts w:hint="eastAsia" w:ascii="宋体" w:hAnsi="宋体" w:cs="宋体"/>
                              <w:sz w:val="28"/>
                              <w:szCs w:val="44"/>
                              <w:lang w:eastAsia="zh-CN"/>
                            </w:rPr>
                            <w:t>—</w:t>
                          </w:r>
                          <w:r>
                            <w:rPr>
                              <w:rFonts w:hint="eastAsia" w:ascii="宋体" w:hAnsi="宋体" w:cs="宋体"/>
                              <w:sz w:val="28"/>
                              <w:szCs w:val="44"/>
                              <w:lang w:val="en-US" w:eastAsia="zh-CN"/>
                            </w:rPr>
                            <w:t xml:space="preserve"> </w:t>
                          </w:r>
                          <w:r>
                            <w:rPr>
                              <w:rFonts w:hint="eastAsia" w:ascii="宋体" w:hAnsi="宋体" w:cs="宋体"/>
                              <w:sz w:val="28"/>
                              <w:szCs w:val="44"/>
                              <w:lang w:eastAsia="zh-CN"/>
                            </w:rPr>
                            <w:fldChar w:fldCharType="begin"/>
                          </w:r>
                          <w:r>
                            <w:rPr>
                              <w:rFonts w:hint="eastAsia" w:ascii="宋体" w:hAnsi="宋体" w:cs="宋体"/>
                              <w:sz w:val="28"/>
                              <w:szCs w:val="44"/>
                              <w:lang w:eastAsia="zh-CN"/>
                            </w:rPr>
                            <w:instrText xml:space="preserve"> PAGE  \* MERGEFORMAT </w:instrText>
                          </w:r>
                          <w:r>
                            <w:rPr>
                              <w:rFonts w:hint="eastAsia" w:ascii="宋体" w:hAnsi="宋体" w:cs="宋体"/>
                              <w:sz w:val="28"/>
                              <w:szCs w:val="44"/>
                              <w:lang w:eastAsia="zh-CN"/>
                            </w:rPr>
                            <w:fldChar w:fldCharType="separate"/>
                          </w:r>
                          <w:r>
                            <w:rPr>
                              <w:rFonts w:hint="eastAsia" w:ascii="宋体" w:hAnsi="宋体" w:cs="宋体"/>
                              <w:sz w:val="28"/>
                              <w:szCs w:val="44"/>
                              <w:lang w:eastAsia="zh-CN"/>
                            </w:rPr>
                            <w:t>5</w:t>
                          </w:r>
                          <w:r>
                            <w:rPr>
                              <w:rFonts w:hint="eastAsia" w:ascii="宋体" w:hAnsi="宋体" w:cs="宋体"/>
                              <w:sz w:val="28"/>
                              <w:szCs w:val="44"/>
                              <w:lang w:eastAsia="zh-CN"/>
                            </w:rPr>
                            <w:fldChar w:fldCharType="end"/>
                          </w:r>
                          <w:r>
                            <w:rPr>
                              <w:rFonts w:hint="eastAsia" w:ascii="宋体" w:hAnsi="宋体" w:cs="宋体"/>
                              <w:sz w:val="28"/>
                              <w:szCs w:val="4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44"/>
                        <w:lang w:val="en-US" w:eastAsia="zh-CN"/>
                      </w:rPr>
                    </w:pPr>
                    <w:r>
                      <w:rPr>
                        <w:rFonts w:hint="eastAsia" w:ascii="宋体" w:hAnsi="宋体" w:cs="宋体"/>
                        <w:sz w:val="28"/>
                        <w:szCs w:val="44"/>
                        <w:lang w:eastAsia="zh-CN"/>
                      </w:rPr>
                      <w:t>—</w:t>
                    </w:r>
                    <w:r>
                      <w:rPr>
                        <w:rFonts w:hint="eastAsia" w:ascii="宋体" w:hAnsi="宋体" w:cs="宋体"/>
                        <w:sz w:val="28"/>
                        <w:szCs w:val="44"/>
                        <w:lang w:val="en-US" w:eastAsia="zh-CN"/>
                      </w:rPr>
                      <w:t xml:space="preserve"> </w:t>
                    </w:r>
                    <w:r>
                      <w:rPr>
                        <w:rFonts w:hint="eastAsia" w:ascii="宋体" w:hAnsi="宋体" w:cs="宋体"/>
                        <w:sz w:val="28"/>
                        <w:szCs w:val="44"/>
                        <w:lang w:eastAsia="zh-CN"/>
                      </w:rPr>
                      <w:fldChar w:fldCharType="begin"/>
                    </w:r>
                    <w:r>
                      <w:rPr>
                        <w:rFonts w:hint="eastAsia" w:ascii="宋体" w:hAnsi="宋体" w:cs="宋体"/>
                        <w:sz w:val="28"/>
                        <w:szCs w:val="44"/>
                        <w:lang w:eastAsia="zh-CN"/>
                      </w:rPr>
                      <w:instrText xml:space="preserve"> PAGE  \* MERGEFORMAT </w:instrText>
                    </w:r>
                    <w:r>
                      <w:rPr>
                        <w:rFonts w:hint="eastAsia" w:ascii="宋体" w:hAnsi="宋体" w:cs="宋体"/>
                        <w:sz w:val="28"/>
                        <w:szCs w:val="44"/>
                        <w:lang w:eastAsia="zh-CN"/>
                      </w:rPr>
                      <w:fldChar w:fldCharType="separate"/>
                    </w:r>
                    <w:r>
                      <w:rPr>
                        <w:rFonts w:hint="eastAsia" w:ascii="宋体" w:hAnsi="宋体" w:cs="宋体"/>
                        <w:sz w:val="28"/>
                        <w:szCs w:val="44"/>
                        <w:lang w:eastAsia="zh-CN"/>
                      </w:rPr>
                      <w:t>5</w:t>
                    </w:r>
                    <w:r>
                      <w:rPr>
                        <w:rFonts w:hint="eastAsia" w:ascii="宋体" w:hAnsi="宋体" w:cs="宋体"/>
                        <w:sz w:val="28"/>
                        <w:szCs w:val="44"/>
                        <w:lang w:eastAsia="zh-CN"/>
                      </w:rPr>
                      <w:fldChar w:fldCharType="end"/>
                    </w:r>
                    <w:r>
                      <w:rPr>
                        <w:rFonts w:hint="eastAsia" w:ascii="宋体" w:hAnsi="宋体" w:cs="宋体"/>
                        <w:sz w:val="28"/>
                        <w:szCs w:val="44"/>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182A73"/>
    <w:rsid w:val="0D00504B"/>
    <w:rsid w:val="11225299"/>
    <w:rsid w:val="16BB7AC9"/>
    <w:rsid w:val="1CEE216C"/>
    <w:rsid w:val="1E1E7C03"/>
    <w:rsid w:val="214E426D"/>
    <w:rsid w:val="2BE0377A"/>
    <w:rsid w:val="2EC316DC"/>
    <w:rsid w:val="3C080A96"/>
    <w:rsid w:val="3C5153D0"/>
    <w:rsid w:val="44B542D6"/>
    <w:rsid w:val="5CB77646"/>
    <w:rsid w:val="6A5614A4"/>
    <w:rsid w:val="6ED62E55"/>
    <w:rsid w:val="70AF42D7"/>
    <w:rsid w:val="763100EF"/>
    <w:rsid w:val="7EAC6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sz w:val="30"/>
      <w:szCs w:val="21"/>
    </w:r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2020-07-08T03:27:00Z</dcterms:created>
  <dc:creator>lenovo</dc:creator>
  <cp:lastModifiedBy>崔小松</cp:lastModifiedBy>
  <dcterms:modified xsi:type="dcterms:W3CDTF">2020-07-13T01:52:20Z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