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val="0"/>
        <w:spacing w:line="560" w:lineRule="exact"/>
        <w:ind w:left="0" w:leftChars="0"/>
        <w:jc w:val="center"/>
        <w:textAlignment w:val="auto"/>
        <w:rPr>
          <w:rFonts w:hint="eastAsia" w:ascii="仿宋_GB2312" w:hAnsi="仿宋_GB2312" w:eastAsia="仿宋_GB2312" w:cs="仿宋_GB2312"/>
          <w:color w:val="auto"/>
          <w:sz w:val="48"/>
          <w:szCs w:val="48"/>
        </w:rPr>
      </w:pPr>
    </w:p>
    <w:p>
      <w:pPr>
        <w:pageBreakBefore w:val="0"/>
        <w:kinsoku/>
        <w:wordWrap/>
        <w:overflowPunct/>
        <w:topLinePunct w:val="0"/>
        <w:autoSpaceDE/>
        <w:autoSpaceDN/>
        <w:bidi w:val="0"/>
        <w:adjustRightInd/>
        <w:snapToGrid w:val="0"/>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8"/>
          <w:szCs w:val="48"/>
        </w:rPr>
      </w:pPr>
      <w:r>
        <w:rPr>
          <w:rFonts w:hint="eastAsia" w:ascii="方正小标宋简体" w:hAnsi="方正小标宋简体" w:eastAsia="方正小标宋简体" w:cs="方正小标宋简体"/>
          <w:b w:val="0"/>
          <w:bCs w:val="0"/>
          <w:color w:val="auto"/>
          <w:sz w:val="48"/>
          <w:szCs w:val="48"/>
        </w:rPr>
        <w:t>广东省公共交通条例</w:t>
      </w:r>
    </w:p>
    <w:p>
      <w:pPr>
        <w:pageBreakBefore w:val="0"/>
        <w:kinsoku/>
        <w:wordWrap/>
        <w:overflowPunct/>
        <w:topLinePunct w:val="0"/>
        <w:autoSpaceDE/>
        <w:autoSpaceDN/>
        <w:bidi w:val="0"/>
        <w:adjustRightInd/>
        <w:snapToGrid w:val="0"/>
        <w:spacing w:line="560" w:lineRule="exact"/>
        <w:ind w:left="0" w:leftChars="0"/>
        <w:jc w:val="center"/>
        <w:textAlignment w:val="auto"/>
        <w:rPr>
          <w:rFonts w:hint="eastAsia" w:ascii="仿宋_GB2312" w:hAnsi="仿宋_GB2312" w:eastAsia="仿宋_GB2312" w:cs="仿宋_GB2312"/>
          <w:b/>
          <w:color w:val="auto"/>
          <w:sz w:val="44"/>
          <w:szCs w:val="44"/>
        </w:rPr>
      </w:pPr>
      <w:r>
        <w:rPr>
          <w:rFonts w:hint="eastAsia" w:ascii="仿宋_GB2312" w:hAnsi="仿宋_GB2312" w:eastAsia="仿宋_GB2312" w:cs="仿宋_GB2312"/>
          <w:color w:val="auto"/>
          <w:sz w:val="44"/>
          <w:szCs w:val="44"/>
        </w:rPr>
        <w:t>（</w:t>
      </w:r>
      <w:r>
        <w:rPr>
          <w:rFonts w:hint="eastAsia" w:ascii="仿宋_GB2312" w:hAnsi="仿宋_GB2312" w:eastAsia="仿宋_GB2312" w:cs="仿宋_GB2312"/>
          <w:color w:val="auto"/>
          <w:sz w:val="36"/>
          <w:szCs w:val="36"/>
        </w:rPr>
        <w:t>征求意见稿</w:t>
      </w:r>
      <w:r>
        <w:rPr>
          <w:rFonts w:hint="eastAsia" w:ascii="仿宋_GB2312" w:hAnsi="仿宋_GB2312" w:eastAsia="仿宋_GB2312" w:cs="仿宋_GB2312"/>
          <w:color w:val="auto"/>
          <w:sz w:val="44"/>
          <w:szCs w:val="44"/>
        </w:rPr>
        <w:t>）</w:t>
      </w:r>
    </w:p>
    <w:p>
      <w:pPr>
        <w:pStyle w:val="2"/>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color w:val="auto"/>
          <w:sz w:val="36"/>
          <w:szCs w:val="36"/>
        </w:rPr>
      </w:pPr>
      <w:bookmarkStart w:id="0" w:name="_Toc525727069"/>
      <w:r>
        <w:rPr>
          <w:rFonts w:hint="eastAsia" w:ascii="仿宋_GB2312" w:hAnsi="仿宋_GB2312" w:eastAsia="仿宋_GB2312" w:cs="仿宋_GB2312"/>
          <w:color w:val="auto"/>
          <w:sz w:val="36"/>
          <w:szCs w:val="36"/>
        </w:rPr>
        <w:t>第一章 总 则</w:t>
      </w:r>
      <w:bookmarkEnd w:id="0"/>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第一条【立法目的】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为促进我省公共交通事业发展，规范公共交通管理，推动区域公共交通一体化，保障运营安全，维护乘客、经营者及从业人员合法权益，根据国家和省有关法律、行政法规的规定，结合本省实际，制定本条例。</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第二条【适用范围】</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本省行政区域内公共交通的规划、建设、运营、安全及相关管理活动适用于本条例。</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条例所称公共交通，是指市、县（区）人民政府（以下简称城市人民政府）在本行政区域内，以及与周边市、县（区）行政区域之间，利用城市公共汽电车、城市轨道交通及相关的客运服务设施，为公众提供公共出行服务的客运活动。城市轨道交通包括地铁、轻轨、有轨电车、</w:t>
      </w:r>
      <w:r>
        <w:rPr>
          <w:rFonts w:hint="eastAsia" w:ascii="仿宋_GB2312" w:hAnsi="仿宋_GB2312" w:eastAsia="仿宋_GB2312" w:cs="仿宋_GB2312"/>
          <w:color w:val="auto"/>
          <w:sz w:val="32"/>
          <w:szCs w:val="32"/>
        </w:rPr>
        <w:t>自动导向轨道系统</w:t>
      </w:r>
      <w:r>
        <w:rPr>
          <w:rFonts w:hint="eastAsia" w:ascii="仿宋_GB2312" w:hAnsi="仿宋_GB2312" w:eastAsia="仿宋_GB2312" w:cs="仿宋_GB2312"/>
          <w:bCs/>
          <w:color w:val="auto"/>
          <w:sz w:val="32"/>
          <w:szCs w:val="32"/>
        </w:rPr>
        <w:t>等轨道交通系统。</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第三条【</w:t>
      </w:r>
      <w:r>
        <w:rPr>
          <w:rFonts w:hint="eastAsia" w:ascii="黑体" w:hAnsi="黑体" w:eastAsia="黑体" w:cs="黑体"/>
          <w:b/>
          <w:bCs/>
          <w:color w:val="auto"/>
          <w:sz w:val="32"/>
          <w:szCs w:val="32"/>
          <w:lang w:eastAsia="zh-CN"/>
        </w:rPr>
        <w:t>分类和定义</w:t>
      </w:r>
      <w:r>
        <w:rPr>
          <w:rFonts w:hint="eastAsia" w:ascii="黑体" w:hAnsi="黑体" w:eastAsia="黑体" w:cs="黑体"/>
          <w:b/>
          <w:bCs/>
          <w:color w:val="auto"/>
          <w:sz w:val="32"/>
          <w:szCs w:val="32"/>
        </w:rPr>
        <w:t>】</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根据服务定位和特征差异，公共交通划分为基本公共交通和多元化公共交通；根据公共交通服务范围，划分为城市公共交通和区域公共交通。</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基本公共交通是为满足公众基本出行需求提供的公共交通服务，是公共交通的主体，由城市人民政府主导建设和保障，按照核定的线路、时间、班次、站点和票价等方式运营。基本公共交通包含城市轨道交通和基本公共汽电车。</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多元化公共交通是为满足社会公众个性化、高品质出行需求提供的公共汽电车服务，是基本公共交通的补充，以市场化运作为主导，实行市场调节价，按照快速、高效、舒适、灵活等特征运营。</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区域公共交通是为满足区域一体化和城乡一体化发展要求，适应国家粤港澳大湾区发展，打破行政区域界线，实现城市公共交通服务网络的有效衔接，统筹</w:t>
      </w:r>
      <w:r>
        <w:rPr>
          <w:rFonts w:hint="eastAsia" w:ascii="仿宋_GB2312" w:hAnsi="仿宋_GB2312" w:eastAsia="仿宋_GB2312" w:cs="仿宋_GB2312"/>
          <w:color w:val="auto"/>
          <w:sz w:val="32"/>
          <w:szCs w:val="32"/>
        </w:rPr>
        <w:t>跨</w:t>
      </w:r>
      <w:r>
        <w:rPr>
          <w:rFonts w:hint="eastAsia" w:ascii="仿宋_GB2312" w:hAnsi="仿宋_GB2312" w:eastAsia="仿宋_GB2312" w:cs="仿宋_GB2312"/>
          <w:color w:val="auto"/>
          <w:sz w:val="32"/>
          <w:szCs w:val="32"/>
        </w:rPr>
        <w:t>地级以上市</w:t>
      </w:r>
      <w:r>
        <w:rPr>
          <w:rFonts w:hint="eastAsia" w:ascii="仿宋_GB2312" w:hAnsi="仿宋_GB2312" w:eastAsia="仿宋_GB2312" w:cs="仿宋_GB2312"/>
          <w:bCs/>
          <w:color w:val="auto"/>
          <w:sz w:val="32"/>
          <w:szCs w:val="32"/>
        </w:rPr>
        <w:t>运营的城市公共汽电车和城市轨道交通</w:t>
      </w:r>
      <w:r>
        <w:rPr>
          <w:rFonts w:hint="eastAsia" w:ascii="仿宋_GB2312" w:hAnsi="仿宋_GB2312" w:eastAsia="仿宋_GB2312" w:cs="仿宋_GB2312"/>
          <w:bCs/>
          <w:color w:val="auto"/>
          <w:sz w:val="32"/>
          <w:szCs w:val="32"/>
          <w:lang w:eastAsia="zh-CN"/>
        </w:rPr>
        <w:t>（以下简称跨市公交和跨市轨道交通线路）</w:t>
      </w:r>
      <w:r>
        <w:rPr>
          <w:rFonts w:hint="eastAsia" w:ascii="仿宋_GB2312" w:hAnsi="仿宋_GB2312" w:eastAsia="仿宋_GB2312" w:cs="仿宋_GB2312"/>
          <w:bCs/>
          <w:color w:val="auto"/>
          <w:sz w:val="32"/>
          <w:szCs w:val="32"/>
        </w:rPr>
        <w:t>发展，提供区域一体化的公共交通服务。</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跨市公交是为满足毗邻地级以上市一定区域内公众跨市通勤需求，通过新增或者现有城市公共汽电车线路延伸，开行至毗邻地级以上市行政区域内的公共汽电车服务。</w:t>
      </w:r>
    </w:p>
    <w:p>
      <w:pPr>
        <w:pageBreakBefore w:val="0"/>
        <w:kinsoku/>
        <w:wordWrap/>
        <w:overflowPunct/>
        <w:topLinePunct w:val="0"/>
        <w:autoSpaceDE/>
        <w:autoSpaceDN/>
        <w:bidi w:val="0"/>
        <w:adjustRightInd/>
        <w:spacing w:before="0" w:beforeLines="-2147483648" w:after="0" w:afterLines="-2147483648"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跨市轨道交通线路</w:t>
      </w:r>
      <w:r>
        <w:rPr>
          <w:rFonts w:hint="eastAsia" w:ascii="仿宋_GB2312" w:hAnsi="仿宋_GB2312" w:eastAsia="仿宋_GB2312" w:cs="仿宋_GB2312"/>
          <w:bCs/>
          <w:color w:val="auto"/>
          <w:sz w:val="32"/>
          <w:szCs w:val="32"/>
          <w:lang w:eastAsia="zh-CN"/>
        </w:rPr>
        <w:t>是城市轨道交通线路</w:t>
      </w:r>
      <w:r>
        <w:rPr>
          <w:rFonts w:hint="eastAsia" w:ascii="仿宋_GB2312" w:hAnsi="仿宋_GB2312" w:eastAsia="仿宋_GB2312" w:cs="仿宋_GB2312"/>
          <w:bCs/>
          <w:color w:val="auto"/>
          <w:sz w:val="32"/>
          <w:szCs w:val="32"/>
        </w:rPr>
        <w:t>跨越</w:t>
      </w:r>
      <w:r>
        <w:rPr>
          <w:rFonts w:hint="eastAsia" w:ascii="仿宋_GB2312" w:hAnsi="仿宋_GB2312" w:eastAsia="仿宋_GB2312" w:cs="仿宋_GB2312"/>
          <w:bCs/>
          <w:color w:val="auto"/>
          <w:sz w:val="32"/>
          <w:szCs w:val="32"/>
          <w:lang w:eastAsia="zh-CN"/>
        </w:rPr>
        <w:t>两个</w:t>
      </w:r>
      <w:r>
        <w:rPr>
          <w:rFonts w:hint="eastAsia" w:ascii="仿宋_GB2312" w:hAnsi="仿宋_GB2312" w:eastAsia="仿宋_GB2312" w:cs="仿宋_GB2312"/>
          <w:bCs/>
          <w:color w:val="auto"/>
          <w:sz w:val="32"/>
          <w:szCs w:val="32"/>
        </w:rPr>
        <w:t>以上</w:t>
      </w:r>
      <w:r>
        <w:rPr>
          <w:rFonts w:hint="eastAsia" w:ascii="仿宋_GB2312" w:hAnsi="仿宋_GB2312" w:eastAsia="仿宋_GB2312" w:cs="仿宋_GB2312"/>
          <w:bCs/>
          <w:color w:val="auto"/>
          <w:sz w:val="32"/>
          <w:szCs w:val="32"/>
          <w:lang w:eastAsia="zh-CN"/>
        </w:rPr>
        <w:t>地级市且</w:t>
      </w:r>
      <w:r>
        <w:rPr>
          <w:rFonts w:hint="eastAsia" w:ascii="仿宋_GB2312" w:hAnsi="仿宋_GB2312" w:eastAsia="仿宋_GB2312" w:cs="仿宋_GB2312"/>
          <w:bCs/>
          <w:color w:val="auto"/>
          <w:sz w:val="32"/>
          <w:szCs w:val="32"/>
        </w:rPr>
        <w:t>实现贯通运营，乘客不需在城市边界进行换乘的一种城市轨道交通运营方式。</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第四条【发展原则】</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公共交通发展应当以人民为中心，适应国家和省对区域规划发展要求，遵循统筹协调、普遍服务、安全便捷、绿色环保、稳定持续的原则。</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鼓励社会资本参与公共交通基础设施建设、运营和提供公共交通服务，并保障其合法权益。</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第五条【政府职责】</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城市人民政府是公共交通事业发展的责任主体，对辖区公共交通发展负总体责任，应当落实城市优先发展公共交通战略，建立公共交通协调机制，优先保障基本公共交通，有序引导多元化公共交通发展。</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第六条【部门职责】</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省人民政府交通运输主管部门负责统筹推动区域公共交通一体化发展，指导全省</w:t>
      </w:r>
      <w:r>
        <w:rPr>
          <w:rFonts w:hint="eastAsia" w:ascii="仿宋_GB2312" w:hAnsi="仿宋_GB2312" w:eastAsia="仿宋_GB2312" w:cs="仿宋_GB2312"/>
          <w:bCs/>
          <w:color w:val="auto"/>
          <w:sz w:val="32"/>
          <w:szCs w:val="32"/>
          <w:lang w:eastAsia="zh-CN"/>
        </w:rPr>
        <w:t>公共交通</w:t>
      </w:r>
      <w:r>
        <w:rPr>
          <w:rFonts w:hint="eastAsia" w:ascii="仿宋_GB2312" w:hAnsi="仿宋_GB2312" w:eastAsia="仿宋_GB2312" w:cs="仿宋_GB2312"/>
          <w:bCs/>
          <w:color w:val="auto"/>
          <w:sz w:val="32"/>
          <w:szCs w:val="32"/>
        </w:rPr>
        <w:t>管理。省有关部门按照各自职责做好公共交通相应的管理和指导工作。</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城市人民政府交通运输主管部门和城市轨道交通运营主管部门负责本行政区域内的公共交通管理工作。地级以上市交通运输主管部门应当指导本行政区域县（区）公共交通发展。</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城市人民政府发展改革、自然资源、住房和城乡建设、财政、公安、应急管理、城市管理综合执法等有关部门按照职责分工，做好公共交通的相关工作。</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第七条【发展方向】</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鼓励建立公益主导、规模经营、适度竞争的公共交通客运市场。</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积极推广新技术、新能源、新装备，推动大数据、移动互联网等信息技术在公共交通运营、服务、安全和管理等方面的应用。</w:t>
      </w:r>
    </w:p>
    <w:p>
      <w:pPr>
        <w:pStyle w:val="2"/>
        <w:pageBreakBefore w:val="0"/>
        <w:kinsoku/>
        <w:wordWrap/>
        <w:overflowPunct/>
        <w:topLinePunct w:val="0"/>
        <w:autoSpaceDE/>
        <w:autoSpaceDN/>
        <w:bidi w:val="0"/>
        <w:adjustRightInd/>
        <w:spacing w:line="560" w:lineRule="exact"/>
        <w:ind w:left="0" w:leftChars="0"/>
        <w:jc w:val="center"/>
        <w:textAlignment w:val="auto"/>
        <w:rPr>
          <w:rFonts w:hint="eastAsia" w:ascii="黑体" w:hAnsi="黑体" w:eastAsia="黑体" w:cs="黑体"/>
          <w:b w:val="0"/>
          <w:bCs w:val="0"/>
          <w:color w:val="auto"/>
          <w:sz w:val="36"/>
          <w:szCs w:val="36"/>
        </w:rPr>
      </w:pPr>
      <w:bookmarkStart w:id="1" w:name="_Toc525727070"/>
      <w:r>
        <w:rPr>
          <w:rFonts w:hint="eastAsia" w:ascii="黑体" w:hAnsi="黑体" w:eastAsia="黑体" w:cs="黑体"/>
          <w:b w:val="0"/>
          <w:bCs w:val="0"/>
          <w:color w:val="auto"/>
          <w:sz w:val="36"/>
          <w:szCs w:val="36"/>
        </w:rPr>
        <w:t>第二章 规划和建设</w:t>
      </w:r>
      <w:bookmarkEnd w:id="1"/>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第八条【规划编制】</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省人民政府交通运输主管部门会同发展改革、自然资源、住房和城乡建设等部门定期编制或修订区域公共交通规划，并纳入全省综合交通运输体系发展规划。</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城市人民政府交通运输主管部门应当会同相关部门定期编制或修订城市公共交通规划。城市公共交通规划应当根据城市化进程，统筹城乡公共交通一体化发展以及与周边区域公共交通和其他运输方式的衔接。   </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城市人民政府相关部门编制或者修编城市轨道交通规划，应当书面征求交通运输、城市轨道交通</w:t>
      </w:r>
      <w:r>
        <w:rPr>
          <w:rFonts w:hint="eastAsia" w:ascii="仿宋_GB2312" w:hAnsi="仿宋_GB2312" w:eastAsia="仿宋_GB2312" w:cs="仿宋_GB2312"/>
          <w:bCs/>
          <w:color w:val="auto"/>
          <w:sz w:val="32"/>
          <w:szCs w:val="32"/>
          <w:lang w:eastAsia="zh-CN"/>
        </w:rPr>
        <w:t>运营</w:t>
      </w:r>
      <w:r>
        <w:rPr>
          <w:rFonts w:hint="eastAsia" w:ascii="仿宋_GB2312" w:hAnsi="仿宋_GB2312" w:eastAsia="仿宋_GB2312" w:cs="仿宋_GB2312"/>
          <w:bCs/>
          <w:color w:val="auto"/>
          <w:sz w:val="32"/>
          <w:szCs w:val="32"/>
        </w:rPr>
        <w:t>主管部门意见</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第九条【用地保障】</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城市人民政府自然资源主管部门在组织编制或修编国土空间总体规划、详细规划时，应当</w:t>
      </w:r>
      <w:r>
        <w:rPr>
          <w:rFonts w:hint="eastAsia" w:ascii="仿宋_GB2312" w:hAnsi="仿宋_GB2312" w:eastAsia="仿宋_GB2312" w:cs="仿宋_GB2312"/>
          <w:bCs/>
          <w:color w:val="auto"/>
          <w:sz w:val="32"/>
          <w:szCs w:val="32"/>
          <w:lang w:eastAsia="zh-CN"/>
        </w:rPr>
        <w:t>书面征求</w:t>
      </w:r>
      <w:r>
        <w:rPr>
          <w:rFonts w:hint="eastAsia" w:ascii="仿宋_GB2312" w:hAnsi="仿宋_GB2312" w:eastAsia="仿宋_GB2312" w:cs="仿宋_GB2312"/>
          <w:bCs/>
          <w:color w:val="auto"/>
          <w:sz w:val="32"/>
          <w:szCs w:val="32"/>
        </w:rPr>
        <w:t>交通运输、城市轨道交通</w:t>
      </w:r>
      <w:r>
        <w:rPr>
          <w:rFonts w:hint="eastAsia" w:ascii="仿宋_GB2312" w:hAnsi="仿宋_GB2312" w:eastAsia="仿宋_GB2312" w:cs="仿宋_GB2312"/>
          <w:bCs/>
          <w:color w:val="auto"/>
          <w:sz w:val="32"/>
          <w:szCs w:val="32"/>
          <w:lang w:eastAsia="zh-CN"/>
        </w:rPr>
        <w:t>运营</w:t>
      </w:r>
      <w:r>
        <w:rPr>
          <w:rFonts w:hint="eastAsia" w:ascii="仿宋_GB2312" w:hAnsi="仿宋_GB2312" w:eastAsia="仿宋_GB2312" w:cs="仿宋_GB2312"/>
          <w:bCs/>
          <w:color w:val="auto"/>
          <w:sz w:val="32"/>
          <w:szCs w:val="32"/>
        </w:rPr>
        <w:t>主管部门意见，将城市公共交通规划和城市轨道交通规划确定的公共交通服务设施纳入。</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lang w:bidi="ar-SA"/>
        </w:rPr>
      </w:pPr>
      <w:r>
        <w:rPr>
          <w:rFonts w:hint="eastAsia" w:ascii="仿宋_GB2312" w:hAnsi="仿宋_GB2312" w:eastAsia="仿宋_GB2312" w:cs="仿宋_GB2312"/>
          <w:bCs/>
          <w:color w:val="auto"/>
          <w:sz w:val="32"/>
          <w:szCs w:val="32"/>
        </w:rPr>
        <w:t>城市人民政府应当优先将公共交通服务设施用地纳入土地</w:t>
      </w:r>
      <w:r>
        <w:rPr>
          <w:rFonts w:hint="eastAsia" w:ascii="仿宋_GB2312" w:hAnsi="仿宋_GB2312" w:eastAsia="仿宋_GB2312" w:cs="仿宋_GB2312"/>
          <w:bCs/>
          <w:color w:val="auto"/>
          <w:sz w:val="32"/>
          <w:szCs w:val="32"/>
          <w:lang w:bidi="ar-SA"/>
        </w:rPr>
        <w:t>利用年度计划和建设用地供应计划。公共交通服务设施用地符合国家《划拨用地目录》的，可以以划拨方式供地；用于公共交通场站综合开发的，涉及商业用地部分，应当按照商业用地方式依法取得土地使用权。</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lang w:bidi="ar-SA"/>
        </w:rPr>
      </w:pPr>
      <w:r>
        <w:rPr>
          <w:rFonts w:hint="eastAsia" w:ascii="仿宋_GB2312" w:hAnsi="仿宋_GB2312" w:eastAsia="仿宋_GB2312" w:cs="仿宋_GB2312"/>
          <w:bCs/>
          <w:color w:val="auto"/>
          <w:sz w:val="32"/>
          <w:szCs w:val="32"/>
          <w:lang w:bidi="ar-SA"/>
        </w:rPr>
        <w:t>城市人民政府自然资源主管部门应当制定公共交通场站综合开发和管理的具体办法，支持依法综合利用，其收益用于公共交通服务设施建设和弥补运营亏损。</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任何单位和个人未经法定程序，不得擅自改变公共交通服务设施用地使用性质、用途和规模。</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第十条【公共汽电车设施建设】</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城市人民政府应当根据国家和省相关标准，制订本辖区城市公共汽电车服务设施配套建设的指导意见。</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新建、改建或者扩建机场、火车站、汽车站、轨道交通车站等客流集散的公共场所，文化、医疗、教育、体育、娱乐、商业、旅游等大型建设项目和住宅小区时，自然资源主管部门应当按照相关配建标准将城市公共汽电车服务设施纳入建设项目规划条件，并在建设工程规划许可阶段</w:t>
      </w:r>
      <w:r>
        <w:rPr>
          <w:rFonts w:hint="eastAsia" w:ascii="仿宋_GB2312" w:hAnsi="仿宋_GB2312" w:eastAsia="仿宋_GB2312" w:cs="仿宋_GB2312"/>
          <w:bCs/>
          <w:color w:val="auto"/>
          <w:sz w:val="32"/>
          <w:szCs w:val="32"/>
          <w:lang w:eastAsia="zh-CN"/>
        </w:rPr>
        <w:t>书面</w:t>
      </w:r>
      <w:r>
        <w:rPr>
          <w:rFonts w:hint="eastAsia" w:ascii="仿宋_GB2312" w:hAnsi="仿宋_GB2312" w:eastAsia="仿宋_GB2312" w:cs="仿宋_GB2312"/>
          <w:bCs/>
          <w:color w:val="auto"/>
          <w:sz w:val="32"/>
          <w:szCs w:val="32"/>
        </w:rPr>
        <w:t>征求交通运输主管部门意见。</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城市新建、改建或者扩建城市道路，应当根据相关标准设置城市公共汽电车停靠站和配套供电线管设施，具备条件的，应当设置港湾式停靠站和网络通信设施。</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第十一条【公共汽电车设施验收】</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项目涉及城市公共汽电车服务设施配套建设的，城市人民政府相关主管部门在建设项目竣工验收时，应当邀请同级交通运输主管部门参加，验收合格后无偿移交交通运输主管部门确定的运营单位。建设项目未按照规划条件或者规划许可实施的，主体工程不得交付使用。</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分期开发、分期交付使用的建设项目，在城市公共汽电车服务设施建成投入使用前，应当根据公众出行需要，设置临时设施。</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第十二条【城市轨道交通设施建设】</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城市轨道交通工程项目可行性研究报告和初步设计文件编制应当统筹与城市公共汽电车、自行车等其他交通方式的衔接换乘设施，相关衔接换乘设施应当同步纳入城市轨道交通工程项目用地和投资计划。</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新建城市轨道交通出入口与同步配套建设的公共汽电车停靠站换乘距离原则上不超过50米，对受地形、空间位置等客观条件影响的，经报所在地城市人民政府交通运输主管部门同意，换乘距离可适当延长。</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城市轨道交通建设单位应当同步建设与城市轨道交通相衔接的公共汽电车和自行车服务设施。鼓励有条件的城市轨道交通出入口建设与周边主要建筑物</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风雨连廊等便民设施。</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第十三条【路权保障】</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城市人民政府应当落实公共交通路权优先，推进公共汽电车专用道、优先车道建设和优先信号系统设置。</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w:t>
      </w:r>
      <w:r>
        <w:rPr>
          <w:rFonts w:hint="eastAsia" w:ascii="仿宋_GB2312" w:hAnsi="仿宋_GB2312" w:eastAsia="仿宋_GB2312" w:cs="仿宋_GB2312"/>
          <w:bCs/>
          <w:color w:val="auto"/>
          <w:sz w:val="32"/>
          <w:szCs w:val="32"/>
          <w:lang w:eastAsia="zh-CN"/>
        </w:rPr>
        <w:t>指定的</w:t>
      </w:r>
      <w:r>
        <w:rPr>
          <w:rFonts w:hint="eastAsia" w:ascii="仿宋_GB2312" w:hAnsi="仿宋_GB2312" w:eastAsia="仿宋_GB2312" w:cs="仿宋_GB2312"/>
          <w:bCs/>
          <w:color w:val="auto"/>
          <w:sz w:val="32"/>
          <w:szCs w:val="32"/>
        </w:rPr>
        <w:t>公共汽电车专用道建设主管部门应当根据城市公共交通规划，组织编制公共汽电车专用道建设计划，报本级人民政府批准后实施。</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城市人民政府公安</w:t>
      </w:r>
      <w:r>
        <w:rPr>
          <w:rFonts w:hint="eastAsia" w:ascii="仿宋_GB2312" w:hAnsi="仿宋_GB2312" w:eastAsia="仿宋_GB2312" w:cs="仿宋_GB2312"/>
          <w:bCs/>
          <w:color w:val="auto"/>
          <w:sz w:val="32"/>
          <w:szCs w:val="32"/>
          <w:lang w:eastAsia="zh-CN"/>
        </w:rPr>
        <w:t>机关</w:t>
      </w:r>
      <w:r>
        <w:rPr>
          <w:rFonts w:hint="eastAsia" w:ascii="仿宋_GB2312" w:hAnsi="仿宋_GB2312" w:eastAsia="仿宋_GB2312" w:cs="仿宋_GB2312"/>
          <w:bCs/>
          <w:color w:val="auto"/>
          <w:sz w:val="32"/>
          <w:szCs w:val="32"/>
        </w:rPr>
        <w:t>应当严格公共汽电车专用道、优先车道和优先信号系统执法管理，保障公共汽电车路权优先。</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省公安</w:t>
      </w:r>
      <w:r>
        <w:rPr>
          <w:rFonts w:hint="eastAsia" w:ascii="仿宋_GB2312" w:hAnsi="仿宋_GB2312" w:eastAsia="仿宋_GB2312" w:cs="仿宋_GB2312"/>
          <w:bCs/>
          <w:color w:val="auto"/>
          <w:sz w:val="32"/>
          <w:szCs w:val="32"/>
          <w:lang w:eastAsia="zh-CN"/>
        </w:rPr>
        <w:t>机关</w:t>
      </w:r>
      <w:r>
        <w:rPr>
          <w:rFonts w:hint="eastAsia" w:ascii="仿宋_GB2312" w:hAnsi="仿宋_GB2312" w:eastAsia="仿宋_GB2312" w:cs="仿宋_GB2312"/>
          <w:bCs/>
          <w:color w:val="auto"/>
          <w:sz w:val="32"/>
          <w:szCs w:val="32"/>
        </w:rPr>
        <w:t>应当制定有轨电车车辆和通行规定。有轨电车车辆途经平交道口或混合路段时优先通行。</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第十四条【新能源设施建设】</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城市人民政府负责总体推进本辖区新能源公交车辆推广应用和充电、加氢等配套设施建设。</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城市人民政府发展改革部门编制本辖区新能源车辆基础设施规划时，应当将城市公共交通规划确定的新能源公交车辆配套充电、加氢等设施纳入规划，并优先保障。</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新建和改扩建城市公共交通场站设施应当同步建设或预留充电、加氢等配套设施用地。</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第十五条【设施管理】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任何单位和个人不得毁坏或者擅自占用、移动、拆除公共交通服务设施。</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因城市建设等原因确需占用、移动、拆除公共交通服务设施的，应当经公共交通服务设施管理主体同意，并按照有关规定予以恢复、补建或者补偿。涉及城市轨道交通的，还应当征得城市轨道交通运营</w:t>
      </w:r>
      <w:r>
        <w:rPr>
          <w:rFonts w:hint="eastAsia" w:ascii="仿宋_GB2312" w:hAnsi="仿宋_GB2312" w:eastAsia="仿宋_GB2312" w:cs="仿宋_GB2312"/>
          <w:bCs/>
          <w:color w:val="auto"/>
          <w:sz w:val="32"/>
          <w:szCs w:val="32"/>
          <w:lang w:eastAsia="zh-CN"/>
        </w:rPr>
        <w:t>企业</w:t>
      </w:r>
      <w:r>
        <w:rPr>
          <w:rFonts w:hint="eastAsia" w:ascii="仿宋_GB2312" w:hAnsi="仿宋_GB2312" w:eastAsia="仿宋_GB2312" w:cs="仿宋_GB2312"/>
          <w:bCs/>
          <w:color w:val="auto"/>
          <w:sz w:val="32"/>
          <w:szCs w:val="32"/>
        </w:rPr>
        <w:t>同意。</w:t>
      </w:r>
    </w:p>
    <w:p>
      <w:pPr>
        <w:pStyle w:val="2"/>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color w:val="auto"/>
          <w:sz w:val="36"/>
          <w:szCs w:val="36"/>
        </w:rPr>
      </w:pPr>
      <w:bookmarkStart w:id="2" w:name="_Toc525727071"/>
      <w:r>
        <w:rPr>
          <w:rFonts w:hint="eastAsia" w:ascii="仿宋_GB2312" w:hAnsi="仿宋_GB2312" w:eastAsia="仿宋_GB2312" w:cs="仿宋_GB2312"/>
          <w:color w:val="auto"/>
          <w:sz w:val="36"/>
          <w:szCs w:val="36"/>
        </w:rPr>
        <w:t xml:space="preserve">第三章 </w:t>
      </w:r>
      <w:bookmarkEnd w:id="2"/>
      <w:r>
        <w:rPr>
          <w:rFonts w:hint="eastAsia" w:ascii="仿宋_GB2312" w:hAnsi="仿宋_GB2312" w:eastAsia="仿宋_GB2312" w:cs="仿宋_GB2312"/>
          <w:color w:val="auto"/>
          <w:sz w:val="36"/>
          <w:szCs w:val="36"/>
        </w:rPr>
        <w:t>基本公共交通</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第十六条【基本公共交通发展】</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城市人民政府应当根据国民经济和社会发展、公众出行需求、财政保障能力等，确定本辖区基本公共交通服务内容和服务标准，向社会公布，并定期进行评估和调整。</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城市人民政府交通运输主管部门应当定期开展公众出行调查，根据公众出行需求和公共交通发展实际等，制定本辖区基本公共交通服务提升计划，报本级人民政府批准实施。</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第十七条【运营权配置方式1】</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城市轨道交通由城市人民政府按照国家有关规定，依法确定运营单位。</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城市基本公共汽电车客运按照国家有关规定实行特许经营。城市人民政府可根据本辖区公共交通市场规模等因素，采取区域特许经营或线路特许经营，特许经营期限最长不超过10年。</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第十八条【运营权配置方式2】</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拟从事城市基本公共汽电车经营的，应当按照国家相关规定向所在地城市人民政府交通运输主管部门提出申请。</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主管部门采取服务质量招标方式，确定区域或线路特许经营企业；达不到招标条件的，应当按照国家有关规定在符合区域或线路运营权申请条件的企业中择优选择。任何单位和个人不得设置区域或行业限制、排斥潜在投标人，不得对潜在投标人实行歧视待遇。</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实行区域特许经营的，特许经营区域内</w:t>
      </w:r>
      <w:r>
        <w:rPr>
          <w:rFonts w:hint="eastAsia" w:ascii="仿宋_GB2312" w:hAnsi="仿宋_GB2312" w:eastAsia="仿宋_GB2312" w:cs="仿宋_GB2312"/>
          <w:bCs/>
          <w:color w:val="auto"/>
          <w:sz w:val="32"/>
          <w:szCs w:val="32"/>
          <w:lang w:eastAsia="zh-CN"/>
        </w:rPr>
        <w:t>新增和调整开行的</w:t>
      </w:r>
      <w:r>
        <w:rPr>
          <w:rFonts w:hint="eastAsia" w:ascii="仿宋_GB2312" w:hAnsi="仿宋_GB2312" w:eastAsia="仿宋_GB2312" w:cs="仿宋_GB2312"/>
          <w:bCs/>
          <w:color w:val="auto"/>
          <w:sz w:val="32"/>
          <w:szCs w:val="32"/>
        </w:rPr>
        <w:t>城市基本公共汽电车线路运营权，可直接授予本区域特许经营企业。</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第十九条【特许经营协议】</w:t>
      </w:r>
    </w:p>
    <w:p>
      <w:pPr>
        <w:pageBreakBefore w:val="0"/>
        <w:widowControl/>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城市人民政府交通运输主管部门应当与特许经营企业签订区域或线路特许经营协议，明确区域范围、线路名称、经营期限、车辆规模、基本服务要求、票制票价、安全责任、违约责任等。</w:t>
      </w:r>
    </w:p>
    <w:p>
      <w:pPr>
        <w:pageBreakBefore w:val="0"/>
        <w:widowControl/>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特许经营协议有效期限内，确需变更协议内容的，协议双方应当在共同协商的基础上签订补充协议。</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第二十条【特许经营考核评估】</w:t>
      </w:r>
    </w:p>
    <w:p>
      <w:pPr>
        <w:pageBreakBefore w:val="0"/>
        <w:widowControl/>
        <w:kinsoku/>
        <w:wordWrap/>
        <w:overflowPunct/>
        <w:topLinePunct w:val="0"/>
        <w:autoSpaceDE/>
        <w:autoSpaceDN/>
        <w:bidi w:val="0"/>
        <w:adjustRightInd/>
        <w:spacing w:before="0" w:beforeLines="-2147483648" w:after="0" w:afterLines="-2147483648"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城市人民政府交通运输主管部门应当建立城市基本公共汽电车特许经营考核评估制度，并通过第三方机构评估等方式定期开展考核评估，考核评估结果向社会公布。</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第二十一条【运营权撤销】</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特许经营有效期内，企业有下列行为之一的，特许经营权授予机关可以收回部分或全部特许经营权，并及时采取应对措施，保障公众出行：</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（一）转让、出租或者变相转让、出租区域或线路特许经营权的；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（二）未按照特许经营协议履行承诺，经整改仍未履行的；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（三）发生同责及以上重大或特别重大安全事故的；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（四）发生造成恶劣社会影响的服务质量事件的；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（五）拒不执行政府指令性任务的；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（六）特许经营考核评估不合格的；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（七）特许经营协议明确的需要收回特许经营权的相关行为。</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第二十二条【运营权延续】</w:t>
      </w:r>
    </w:p>
    <w:p>
      <w:pPr>
        <w:pageBreakBefore w:val="0"/>
        <w:widowControl/>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城市基本公共汽电车特许经营权期限届满，由特许经营权授予机关收回运营权，并按照本条例第十八条规定重新确定特许经营企业。</w:t>
      </w:r>
    </w:p>
    <w:p>
      <w:pPr>
        <w:pageBreakBefore w:val="0"/>
        <w:widowControl/>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原特许经营企业参加投标，且在原经营期内考核合格的，招标</w:t>
      </w:r>
      <w:r>
        <w:rPr>
          <w:rFonts w:hint="eastAsia" w:ascii="仿宋_GB2312" w:hAnsi="仿宋_GB2312" w:eastAsia="仿宋_GB2312" w:cs="仿宋_GB2312"/>
          <w:bCs/>
          <w:color w:val="auto"/>
          <w:sz w:val="32"/>
          <w:szCs w:val="32"/>
          <w:lang w:eastAsia="zh-CN"/>
        </w:rPr>
        <w:t>人</w:t>
      </w:r>
      <w:r>
        <w:rPr>
          <w:rFonts w:hint="eastAsia" w:ascii="仿宋_GB2312" w:hAnsi="仿宋_GB2312" w:eastAsia="仿宋_GB2312" w:cs="仿宋_GB2312"/>
          <w:bCs/>
          <w:color w:val="auto"/>
          <w:sz w:val="32"/>
          <w:szCs w:val="32"/>
        </w:rPr>
        <w:t>可在招标文件中对其设置优先条款。</w:t>
      </w:r>
    </w:p>
    <w:p>
      <w:pPr>
        <w:pStyle w:val="2"/>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第四章 多元化公共交通</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第二十三条【多元化公共交通】</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城市人民政府应当根据公众出行需求，在保障基本公共交通的基础上，引入市场化机制，推动多元化公共交通发展。  </w:t>
      </w:r>
    </w:p>
    <w:p>
      <w:pPr>
        <w:pageBreakBefore w:val="0"/>
        <w:widowControl/>
        <w:shd w:val="clear" w:color="auto" w:fill="auto"/>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多元化公共交通包括专线公交和定制公交，多元化公共交通企业应当使用城市公共汽车</w:t>
      </w:r>
      <w:r>
        <w:rPr>
          <w:rFonts w:hint="eastAsia" w:ascii="仿宋_GB2312" w:hAnsi="仿宋_GB2312" w:eastAsia="仿宋_GB2312" w:cs="仿宋_GB2312"/>
          <w:bCs/>
          <w:color w:val="auto"/>
          <w:sz w:val="32"/>
          <w:szCs w:val="32"/>
          <w:lang w:bidi="ar-SA"/>
        </w:rPr>
        <w:t>或</w:t>
      </w:r>
      <w:r>
        <w:rPr>
          <w:rFonts w:hint="eastAsia" w:ascii="仿宋_GB2312" w:hAnsi="仿宋_GB2312" w:eastAsia="仿宋_GB2312" w:cs="仿宋_GB2312"/>
          <w:bCs/>
          <w:color w:val="auto"/>
          <w:sz w:val="32"/>
          <w:szCs w:val="32"/>
        </w:rPr>
        <w:t>道路客运车辆，为乘客提供一人一座等高品质、个性化的公共交通服务。</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专线公交是为满足城市主要人口集散点与机场、铁路客运枢纽、旅游景区、园区、大型居民区等区域间公众快速出行需求，按照固定线路和站点运行的公共交通模式。</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定制公交是依托互联网技术构建信息平台，通过网络预约售票，整合供需信息，并使用符合条件的车辆和驾驶员，提供个性化服务的公共交通模式。</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第二十四条【多元化公交准入要求】</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拟从事多元化公共交通经营的，应当依法取得经营所在地城市公共汽电车特许经营权或者道路旅客运输经营许可。</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多元化公共交通企业所属车辆应当在车籍地所在城市区域内提供公共交通服务，不得从事跨市公共交通服务。</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第二十五条【专线公交发展】</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城市人民政府交通运输主管部门根据城市公共交通规划和公众出行需求等，制定专线公交线路发展计划，明确专线公交基本服务要求，通过服务质量招标方式确定专线公交运营企业。</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专线公交运营企业根据市场需求可在线路沿线主要人口集散点设置不超过</w:t>
      </w: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rPr>
        <w:t>个上下客点，直达机场、铁路客运枢纽、旅游景区、园区、大型居民区等</w:t>
      </w:r>
      <w:r>
        <w:rPr>
          <w:rFonts w:hint="eastAsia" w:ascii="仿宋_GB2312" w:hAnsi="仿宋_GB2312" w:eastAsia="仿宋_GB2312" w:cs="仿宋_GB2312"/>
          <w:bCs/>
          <w:color w:val="auto"/>
          <w:sz w:val="32"/>
          <w:szCs w:val="32"/>
          <w:lang w:eastAsia="zh-CN"/>
        </w:rPr>
        <w:t>终点站</w:t>
      </w:r>
      <w:r>
        <w:rPr>
          <w:rFonts w:hint="eastAsia" w:ascii="仿宋_GB2312" w:hAnsi="仿宋_GB2312" w:eastAsia="仿宋_GB2312" w:cs="仿宋_GB2312"/>
          <w:bCs/>
          <w:color w:val="auto"/>
          <w:sz w:val="32"/>
          <w:szCs w:val="32"/>
        </w:rPr>
        <w:t>。在满足基本服务要求的前提下，运营企业可以根据市场需求，自行调整运力规模、发班班次、发班间隔等。</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专线公交运营企业需变更服务内容、暂停或者终止运营服务的，应当提前15日报原授予机关备案，并向社会公布。</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第二十六条【定制公交互联网平台准入要求】</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从事定制公交经营的互联网平台应当取得线上服务能力资格认定，由省交通运输主管部门会同公安</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rPr>
        <w:t>通信、公安、税务、网信</w:t>
      </w:r>
      <w:r>
        <w:rPr>
          <w:rFonts w:hint="eastAsia" w:ascii="仿宋_GB2312" w:hAnsi="仿宋_GB2312" w:eastAsia="仿宋_GB2312" w:cs="仿宋_GB2312"/>
          <w:color w:val="auto"/>
          <w:sz w:val="32"/>
          <w:szCs w:val="32"/>
          <w:lang w:eastAsia="zh-CN"/>
        </w:rPr>
        <w:t>、人民银行</w:t>
      </w:r>
      <w:r>
        <w:rPr>
          <w:rFonts w:hint="eastAsia" w:ascii="仿宋_GB2312" w:hAnsi="仿宋_GB2312" w:eastAsia="仿宋_GB2312" w:cs="仿宋_GB2312"/>
          <w:bCs/>
          <w:color w:val="auto"/>
          <w:sz w:val="32"/>
          <w:szCs w:val="32"/>
        </w:rPr>
        <w:t>等部门参照</w:t>
      </w:r>
      <w:r>
        <w:rPr>
          <w:rFonts w:hint="eastAsia" w:ascii="仿宋_GB2312" w:hAnsi="仿宋_GB2312" w:eastAsia="仿宋_GB2312" w:cs="仿宋_GB2312"/>
          <w:bCs/>
          <w:color w:val="auto"/>
          <w:sz w:val="32"/>
          <w:szCs w:val="32"/>
          <w:lang w:eastAsia="zh-CN"/>
        </w:rPr>
        <w:t>从事</w:t>
      </w:r>
      <w:r>
        <w:rPr>
          <w:rFonts w:hint="eastAsia" w:ascii="仿宋_GB2312" w:hAnsi="仿宋_GB2312" w:eastAsia="仿宋_GB2312" w:cs="仿宋_GB2312"/>
          <w:bCs/>
          <w:color w:val="auto"/>
          <w:sz w:val="32"/>
          <w:szCs w:val="32"/>
        </w:rPr>
        <w:t>网络预约出租汽车经营的信息平台认定规定执行。</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互联网平台拟从事定制公交经营的，应当于拟经营区域首次开行定制公交前15日，将互联网平台接入经营区域县级以上交通运输主管部门监督管理系统。</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第二十七条【定制公交互联网平台管理】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互联网平台应当接入经营区域内具有多元化公共交通经营资格的企业，利用具有合法运营条件的公共汽车或道路客运车辆和从业人员，从事定制公交经营。</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利用道路客运车辆从事定制公交经营的，城市人民政府县级以上交通运输主管部门应当在车辆《道路运输证》经营范围中增加“多元化公交”。</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具备多元化公共交通经营资格的企业所属车辆和人员不得为不符合本条例第二十六条规定的互联网平台提供承运服务。</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第二十八条【定制公交线路发展】</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定制公交开行前，互联网平台应当将定制公交起点和终点、中途停靠站点、车辆信息、运营时间、票制票价、服务承诺和安全保障措施等信息通过互联网平台向经营区域县级以上交通运输主管部门备案。</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第二十九条【定制公交互联网平台责任】</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互联网平台应当与乘客签订网络出行服务合同，对乘客出行服务和安全负总体责任。乘客合法权益受损时，互联网平台应当按照合同约定，提供赔付或保险理赔等服务。</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互联网平台应当与定制公交承运人签订承运合同，督促承运人安全规范运营，并购买承运人责任险。</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第三十条【定制公交运营管理】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互联网平台和定制公交承运人应当按照网络出行服务合同提供服务，需临时变更服务内容、暂停或者终止运营服务的，应当及时告知乘客，并通过互联网平台向经营区域县级以上交通运输主管部门备案，保障乘客正当权益。</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第三十一条【定制公交互联网平台限制性条款】</w:t>
      </w:r>
    </w:p>
    <w:p>
      <w:pPr>
        <w:pageBreakBefore w:val="0"/>
        <w:widowControl/>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互联网平台和定制公交承运人应当遵守下列规定：</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（一）不得与所在地基本公共汽电车实行同质化竞争；</w:t>
      </w:r>
    </w:p>
    <w:p>
      <w:pPr>
        <w:pageBreakBefore w:val="0"/>
        <w:widowControl/>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（二）不得侵害乘客合法权益和社会公共利益；</w:t>
      </w:r>
    </w:p>
    <w:p>
      <w:pPr>
        <w:pageBreakBefore w:val="0"/>
        <w:widowControl/>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（三）不得以低于成本的价格运营，扰乱正常市场秩序，损害其他经营者合法权益；</w:t>
      </w:r>
    </w:p>
    <w:p>
      <w:pPr>
        <w:pageBreakBefore w:val="0"/>
        <w:widowControl/>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（四）不得擅自泄露、传播乘客信息；</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（五）不得现场售票，不得招揽网络预约以外的团体或乘客乘车；</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（六）不得为跨市运营的客运车辆提供定制公交服务。</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第三十二条【服务设施共享和管理】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城市人民政府交通运输主管部门应当在保障基本公共交通的基础上，定期向社会公布多元化公共交通可以共享的公共汽电车场站、停靠站、公交专用道、优先车道等设施名录。</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专线公交运营企业使用共享设施的，应当于专线公交开通运营前15日，将专线公交相关信息书面报送设施管理主体，并在不影响基本公共汽电车运营的条件下，及时更新和完善站牌标志标识和服务信息。</w:t>
      </w:r>
    </w:p>
    <w:p>
      <w:pPr>
        <w:pStyle w:val="2"/>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第五章  区域公共交通</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第三十三条【协调管理和决策机制】</w:t>
      </w:r>
    </w:p>
    <w:p>
      <w:pPr>
        <w:pageBreakBefore w:val="0"/>
        <w:widowControl/>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省人民政府交通运输主管部门应当建立区域公共交通一体化发展的协调机制，落实国家和省区域一体化发展政策和重大事项。</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第三十四条【规划衔接】</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城市人民政府交通运输主管部门编制城市公共交通规划时，应当</w:t>
      </w:r>
      <w:r>
        <w:rPr>
          <w:rFonts w:hint="eastAsia" w:ascii="仿宋_GB2312" w:hAnsi="仿宋_GB2312" w:eastAsia="仿宋_GB2312" w:cs="仿宋_GB2312"/>
          <w:bCs/>
          <w:color w:val="auto"/>
          <w:sz w:val="32"/>
          <w:szCs w:val="32"/>
          <w:lang w:eastAsia="zh-CN"/>
        </w:rPr>
        <w:t>书面</w:t>
      </w:r>
      <w:r>
        <w:rPr>
          <w:rFonts w:hint="eastAsia" w:ascii="仿宋_GB2312" w:hAnsi="仿宋_GB2312" w:eastAsia="仿宋_GB2312" w:cs="仿宋_GB2312"/>
          <w:bCs/>
          <w:color w:val="auto"/>
          <w:sz w:val="32"/>
          <w:szCs w:val="32"/>
        </w:rPr>
        <w:t>征求区域相关城市交通运输主管部门意见，城市公共交通规划批准实施后应当抄送区域其他城市交通运输和城市轨道交通</w:t>
      </w:r>
      <w:r>
        <w:rPr>
          <w:rFonts w:hint="eastAsia" w:ascii="仿宋_GB2312" w:hAnsi="仿宋_GB2312" w:eastAsia="仿宋_GB2312" w:cs="仿宋_GB2312"/>
          <w:bCs/>
          <w:color w:val="auto"/>
          <w:sz w:val="32"/>
          <w:szCs w:val="32"/>
          <w:lang w:eastAsia="zh-CN"/>
        </w:rPr>
        <w:t>运营</w:t>
      </w:r>
      <w:r>
        <w:rPr>
          <w:rFonts w:hint="eastAsia" w:ascii="仿宋_GB2312" w:hAnsi="仿宋_GB2312" w:eastAsia="仿宋_GB2312" w:cs="仿宋_GB2312"/>
          <w:bCs/>
          <w:color w:val="auto"/>
          <w:sz w:val="32"/>
          <w:szCs w:val="32"/>
        </w:rPr>
        <w:t>主管部门。</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城市人民政府相关部门编制城市轨道交通规划，应当统筹</w:t>
      </w:r>
      <w:r>
        <w:rPr>
          <w:rFonts w:hint="eastAsia" w:ascii="仿宋_GB2312" w:hAnsi="仿宋_GB2312" w:eastAsia="仿宋_GB2312" w:cs="仿宋_GB2312"/>
          <w:color w:val="auto"/>
          <w:sz w:val="32"/>
          <w:szCs w:val="32"/>
        </w:rPr>
        <w:t>与其他交通</w:t>
      </w:r>
      <w:r>
        <w:rPr>
          <w:rFonts w:hint="eastAsia" w:ascii="仿宋_GB2312" w:hAnsi="仿宋_GB2312" w:eastAsia="仿宋_GB2312" w:cs="仿宋_GB2312"/>
          <w:color w:val="auto"/>
          <w:sz w:val="32"/>
          <w:szCs w:val="32"/>
        </w:rPr>
        <w:t>运输</w:t>
      </w:r>
      <w:r>
        <w:rPr>
          <w:rFonts w:hint="eastAsia" w:ascii="仿宋_GB2312" w:hAnsi="仿宋_GB2312" w:eastAsia="仿宋_GB2312" w:cs="仿宋_GB2312"/>
          <w:color w:val="auto"/>
          <w:sz w:val="32"/>
          <w:szCs w:val="32"/>
        </w:rPr>
        <w:t>方式</w:t>
      </w:r>
      <w:r>
        <w:rPr>
          <w:rFonts w:hint="eastAsia" w:ascii="仿宋_GB2312" w:hAnsi="仿宋_GB2312" w:eastAsia="仿宋_GB2312" w:cs="仿宋_GB2312"/>
          <w:bCs/>
          <w:color w:val="auto"/>
          <w:sz w:val="32"/>
          <w:szCs w:val="32"/>
        </w:rPr>
        <w:t>以及周边设区市的城市轨道交通衔接。</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第三十五条【跨市公交发展】</w:t>
      </w:r>
    </w:p>
    <w:p>
      <w:pPr>
        <w:pageBreakBefore w:val="0"/>
        <w:widowControl/>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地级以上市交通运输主管部门应当根据城市公共交通规划和公众出行需求，会同相关地级以上市交通运输主管部门制定跨市公交发展计划，并向社会公布。</w:t>
      </w:r>
    </w:p>
    <w:p>
      <w:pPr>
        <w:pageBreakBefore w:val="0"/>
        <w:widowControl/>
        <w:kinsoku/>
        <w:wordWrap/>
        <w:overflowPunct/>
        <w:topLinePunct w:val="0"/>
        <w:autoSpaceDE/>
        <w:autoSpaceDN/>
        <w:bidi w:val="0"/>
        <w:adjustRightInd/>
        <w:spacing w:line="560" w:lineRule="exact"/>
        <w:ind w:left="0" w:leftChars="0" w:firstLine="640" w:firstLineChars="200"/>
        <w:contextualSpacing w:val="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跨市公交</w:t>
      </w:r>
      <w:r>
        <w:rPr>
          <w:rFonts w:hint="eastAsia" w:ascii="仿宋_GB2312" w:hAnsi="仿宋_GB2312" w:eastAsia="仿宋_GB2312" w:cs="仿宋_GB2312"/>
          <w:bCs/>
          <w:color w:val="auto"/>
          <w:sz w:val="32"/>
          <w:szCs w:val="32"/>
        </w:rPr>
        <w:t>纳入基本公共交通管理，线路长度原则上不超过3</w:t>
      </w:r>
      <w:r>
        <w:rPr>
          <w:rFonts w:hint="eastAsia" w:ascii="仿宋_GB2312" w:hAnsi="仿宋_GB2312" w:eastAsia="仿宋_GB2312" w:cs="仿宋_GB2312"/>
          <w:bCs/>
          <w:color w:val="auto"/>
          <w:sz w:val="32"/>
          <w:szCs w:val="32"/>
        </w:rPr>
        <w:t>0</w:t>
      </w:r>
      <w:r>
        <w:rPr>
          <w:rFonts w:hint="eastAsia" w:ascii="仿宋_GB2312" w:hAnsi="仿宋_GB2312" w:eastAsia="仿宋_GB2312" w:cs="仿宋_GB2312"/>
          <w:bCs/>
          <w:color w:val="auto"/>
          <w:sz w:val="32"/>
          <w:szCs w:val="32"/>
        </w:rPr>
        <w:t>公里，且毗邻地级以上市行政区域内的线路里程不得超过线路总里程的5</w:t>
      </w:r>
      <w:r>
        <w:rPr>
          <w:rFonts w:hint="eastAsia" w:ascii="仿宋_GB2312" w:hAnsi="仿宋_GB2312" w:eastAsia="仿宋_GB2312" w:cs="仿宋_GB2312"/>
          <w:bCs/>
          <w:color w:val="auto"/>
          <w:sz w:val="32"/>
          <w:szCs w:val="32"/>
        </w:rPr>
        <w:t>0</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第三十六条【跨市公交发展程序】</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地级以上市交通运输主管部门拟发展跨市公交线路的，应当征得终点地地级以上市交通运输主管部门同意。任何单位和个人不得以对等经营或对等投放运力等不正当理由拒绝跨市公交发展。</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地级以上市交通运输主管部门应当自跨市公交线路批准之日起10日内将相关信息抄送毗邻地级以上市交通运输主管部门。毗邻市交通运输主管部门应当及时完善和更新跨市公交线路站牌标志标识和服务信息。</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第三十七条【跨市公交运营管理】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同一跨市公交线路实行统一票制票价和服务标准，执行跨市公交企业所在城市公共汽电车的乘车优惠政策。</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跨市公交线路运营权授予机关应当将跨市公交相关信息接入终点地级以上市公共交通监管平台。终点地地级以上市交通运输主管部门应当定期将跨市公交车辆在本辖区内的安全生产、违规违章、服务投诉等信息及时抄送企业所在地地级以上市交通运输主管部门。</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第三十八条【区域公共交通枢纽】</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应当根据机场、干线铁路、城际铁路等规划建设，统筹本辖区综合交通枢纽建设，在规划、设计等阶段落实城市公共汽电车站场等服务设施，并实现与综合交通枢纽同步建设、同步验收和同步投入使用。具有区域服务功能的枢纽，跨市公交和多元化公交发车面积占配套公共汽电车站场面积的比例不低于规划需求预测比例。</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鼓励在毗邻接壤区域公共交通客流走廊设置公交换乘枢纽，实现跨市公交与市内公共交通便捷换乘。</w:t>
      </w:r>
    </w:p>
    <w:p>
      <w:pPr>
        <w:pStyle w:val="2"/>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color w:val="auto"/>
          <w:sz w:val="36"/>
          <w:szCs w:val="36"/>
        </w:rPr>
      </w:pPr>
      <w:bookmarkStart w:id="3" w:name="_Toc525727073"/>
      <w:r>
        <w:rPr>
          <w:rFonts w:hint="eastAsia" w:ascii="仿宋_GB2312" w:hAnsi="仿宋_GB2312" w:eastAsia="仿宋_GB2312" w:cs="仿宋_GB2312"/>
          <w:color w:val="auto"/>
          <w:sz w:val="36"/>
          <w:szCs w:val="36"/>
        </w:rPr>
        <w:t>第六章 运营服务</w:t>
      </w:r>
      <w:bookmarkEnd w:id="3"/>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第三十九条【履行服务承诺】</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公共交通企业应当履行社会责任、诚信守法经营，按照特许经营协议和相关服务规范要求提供优质、稳定的公共交通服务，并主动向社会公开服务承诺，接受管理部门和公众监督。</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第四十条【企业运营服务要求】</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公共汽电车企业应当按照国家、省和城市相关服务规范和标准组织运营</w:t>
      </w:r>
      <w:r>
        <w:rPr>
          <w:rFonts w:hint="eastAsia" w:ascii="仿宋_GB2312" w:hAnsi="仿宋_GB2312" w:eastAsia="仿宋_GB2312" w:cs="仿宋_GB2312"/>
          <w:bCs/>
          <w:color w:val="auto"/>
          <w:sz w:val="32"/>
          <w:szCs w:val="32"/>
          <w:lang w:eastAsia="zh-CN"/>
        </w:rPr>
        <w:t>，并</w:t>
      </w:r>
      <w:r>
        <w:rPr>
          <w:rFonts w:hint="eastAsia" w:ascii="仿宋_GB2312" w:hAnsi="仿宋_GB2312" w:eastAsia="仿宋_GB2312" w:cs="仿宋_GB2312"/>
          <w:bCs/>
          <w:color w:val="auto"/>
          <w:sz w:val="32"/>
          <w:szCs w:val="32"/>
        </w:rPr>
        <w:t xml:space="preserve">遵守下列规定： </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（一）建立服务质量监督和投诉处理机制；</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（二）保持运营车辆和服务场所清洁，符合</w:t>
      </w:r>
      <w:r>
        <w:rPr>
          <w:rFonts w:hint="eastAsia" w:ascii="仿宋_GB2312" w:hAnsi="仿宋_GB2312" w:eastAsia="仿宋_GB2312" w:cs="仿宋_GB2312"/>
          <w:bCs/>
          <w:color w:val="auto"/>
          <w:sz w:val="32"/>
          <w:szCs w:val="32"/>
          <w:lang w:eastAsia="zh-CN"/>
        </w:rPr>
        <w:t>相关</w:t>
      </w:r>
      <w:r>
        <w:rPr>
          <w:rFonts w:hint="eastAsia" w:ascii="仿宋_GB2312" w:hAnsi="仿宋_GB2312" w:eastAsia="仿宋_GB2312" w:cs="仿宋_GB2312"/>
          <w:bCs/>
          <w:color w:val="auto"/>
          <w:sz w:val="32"/>
          <w:szCs w:val="32"/>
        </w:rPr>
        <w:t>卫生标准；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（三）购买承运人责任险等相关保险</w:t>
      </w:r>
      <w:r>
        <w:rPr>
          <w:rFonts w:hint="eastAsia" w:ascii="仿宋_GB2312" w:hAnsi="仿宋_GB2312" w:eastAsia="仿宋_GB2312" w:cs="仿宋_GB2312"/>
          <w:bCs/>
          <w:color w:val="auto"/>
          <w:sz w:val="32"/>
          <w:szCs w:val="32"/>
          <w:lang w:eastAsia="zh-CN"/>
        </w:rPr>
        <w:t>；</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（四）不得对举报、投诉其服务质量或者对其服务作出不满意评价的乘客实施报复行为。</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互联网平台和定制公交承运人</w:t>
      </w:r>
      <w:r>
        <w:rPr>
          <w:rFonts w:hint="eastAsia" w:ascii="仿宋_GB2312" w:hAnsi="仿宋_GB2312" w:eastAsia="仿宋_GB2312" w:cs="仿宋_GB2312"/>
          <w:bCs/>
          <w:color w:val="auto"/>
          <w:sz w:val="32"/>
          <w:szCs w:val="32"/>
          <w:lang w:eastAsia="zh-CN"/>
        </w:rPr>
        <w:t>除上述规定外，还应当遵守以下规定：</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（一）保证线上、线下服务的车辆、驾驶员一致；</w:t>
      </w:r>
    </w:p>
    <w:p>
      <w:pPr>
        <w:pageBreakBefore w:val="0"/>
        <w:widowControl/>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（二）通过互联网平台公布服务项目、</w:t>
      </w:r>
      <w:r>
        <w:rPr>
          <w:rFonts w:hint="eastAsia" w:ascii="仿宋_GB2312" w:hAnsi="仿宋_GB2312" w:eastAsia="仿宋_GB2312" w:cs="仿宋_GB2312"/>
          <w:bCs/>
          <w:color w:val="auto"/>
          <w:sz w:val="32"/>
          <w:szCs w:val="32"/>
          <w:shd w:val="clear" w:color="auto" w:fill="auto"/>
        </w:rPr>
        <w:t>运价结构、计价规则</w:t>
      </w:r>
      <w:r>
        <w:rPr>
          <w:rFonts w:hint="eastAsia" w:ascii="仿宋_GB2312" w:hAnsi="仿宋_GB2312" w:eastAsia="仿宋_GB2312" w:cs="仿宋_GB2312"/>
          <w:bCs/>
          <w:color w:val="auto"/>
          <w:sz w:val="32"/>
          <w:szCs w:val="32"/>
          <w:shd w:val="clear" w:color="auto" w:fill="auto"/>
          <w:lang w:eastAsia="zh-CN"/>
        </w:rPr>
        <w:t>、</w:t>
      </w:r>
      <w:r>
        <w:rPr>
          <w:rFonts w:hint="eastAsia" w:ascii="仿宋_GB2312" w:hAnsi="仿宋_GB2312" w:eastAsia="仿宋_GB2312" w:cs="仿宋_GB2312"/>
          <w:bCs/>
          <w:color w:val="auto"/>
          <w:sz w:val="32"/>
          <w:szCs w:val="32"/>
        </w:rPr>
        <w:t>预约方式</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经营者服务监督电话和当地交通运输服务监督电话等信息</w:t>
      </w:r>
      <w:r>
        <w:rPr>
          <w:rFonts w:hint="eastAsia" w:ascii="仿宋_GB2312" w:hAnsi="仿宋_GB2312" w:eastAsia="仿宋_GB2312" w:cs="仿宋_GB2312"/>
          <w:bCs/>
          <w:color w:val="auto"/>
          <w:sz w:val="32"/>
          <w:szCs w:val="32"/>
          <w:lang w:eastAsia="zh-CN"/>
        </w:rPr>
        <w:t>。</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第四十一条【城市轨道交通基本服务要求】</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城市轨道交通运营</w:t>
      </w:r>
      <w:r>
        <w:rPr>
          <w:rFonts w:hint="eastAsia" w:ascii="仿宋_GB2312" w:hAnsi="仿宋_GB2312" w:eastAsia="仿宋_GB2312" w:cs="仿宋_GB2312"/>
          <w:bCs/>
          <w:color w:val="auto"/>
          <w:sz w:val="32"/>
          <w:szCs w:val="32"/>
          <w:lang w:eastAsia="zh-CN"/>
        </w:rPr>
        <w:t>企业</w:t>
      </w:r>
      <w:r>
        <w:rPr>
          <w:rFonts w:hint="eastAsia" w:ascii="仿宋_GB2312" w:hAnsi="仿宋_GB2312" w:eastAsia="仿宋_GB2312" w:cs="仿宋_GB2312"/>
          <w:bCs/>
          <w:color w:val="auto"/>
          <w:sz w:val="32"/>
          <w:szCs w:val="32"/>
        </w:rPr>
        <w:t>应当按照国家相关城市轨道交通运营服务规范和标准组织运营，并遵守下列规定：</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（一）为乘客提供行车、客运、票务等基本服务以及必要的服务设施设备，保持设施设备完好、正常工作；</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（二）向社会公布运营服务质量承诺；</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（三）建立服务质量监督检查机制，设立服务监督电话，及时处理乘客投诉，并根据乘客合理需求持续改进服务。</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第四十二条【车辆服务设施】</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拟投入运营的基本公共汽电车应当满足以下条件：</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（一）车辆技术性能和环境保护符合相关标准；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（二）在规定位置张贴线路运行图、价格表、服务承诺、投诉电话等标志标识；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（三）配备投币箱、读卡器等设备，鼓励设置移动支付等便捷支付设备；</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（四）安装自动语言报站系统并良好使用；</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（五）配备残疾人乘车辅助设施；</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（六）城市人民政府明确应当配置的服务设施、设备和标识。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lang w:bidi="ar-SA"/>
        </w:rPr>
      </w:pPr>
      <w:r>
        <w:rPr>
          <w:rFonts w:hint="eastAsia" w:ascii="仿宋_GB2312" w:hAnsi="仿宋_GB2312" w:eastAsia="仿宋_GB2312" w:cs="仿宋_GB2312"/>
          <w:bCs/>
          <w:color w:val="auto"/>
          <w:sz w:val="32"/>
          <w:szCs w:val="32"/>
        </w:rPr>
        <w:t>多元化公共交通车辆应当配置本条款（一）、（四）、（六）服务设施。</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第四十三条【从业人员行为规范】</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城市公共汽电车驾驶员提供运营服务时，应当遵守以下规定：</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（一）遵守道路交通法律、法规，斑马线礼让行人；</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（二）按照规定线路行驶和进站、出站，不争道、抢道；　</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（三）不得到站不停、滞站揽客、站点外随意停车上下客；</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（四）不得无故中途逐客、拒载；</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w:t>
      </w:r>
      <w:r>
        <w:rPr>
          <w:rFonts w:hint="eastAsia" w:ascii="仿宋_GB2312" w:hAnsi="仿宋_GB2312" w:eastAsia="仿宋_GB2312" w:cs="仿宋_GB2312"/>
          <w:bCs/>
          <w:color w:val="auto"/>
          <w:sz w:val="32"/>
          <w:szCs w:val="32"/>
          <w:lang w:eastAsia="zh-CN"/>
        </w:rPr>
        <w:t>行驶途中，</w:t>
      </w:r>
      <w:r>
        <w:rPr>
          <w:rFonts w:hint="eastAsia" w:ascii="仿宋_GB2312" w:hAnsi="仿宋_GB2312" w:eastAsia="仿宋_GB2312" w:cs="仿宋_GB2312"/>
          <w:bCs/>
          <w:color w:val="auto"/>
          <w:sz w:val="32"/>
          <w:szCs w:val="32"/>
        </w:rPr>
        <w:t>不得吸烟、闲谈、打电话等；</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（六）国家、省和城市有关不得影响车辆正常行驶、乘客安全和乘车秩序的行为。</w:t>
      </w:r>
    </w:p>
    <w:p>
      <w:pPr>
        <w:pStyle w:val="11"/>
        <w:pageBreakBefore w:val="0"/>
        <w:widowControl/>
        <w:kinsoku/>
        <w:wordWrap/>
        <w:overflowPunct/>
        <w:topLinePunct w:val="0"/>
        <w:autoSpaceDE/>
        <w:autoSpaceDN/>
        <w:bidi w:val="0"/>
        <w:adjustRightInd/>
        <w:spacing w:line="560" w:lineRule="exact"/>
        <w:ind w:left="0" w:leftChars="0" w:right="-255"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城市轨道交通列车驾驶员实行职业准入制度。</w:t>
      </w:r>
      <w:r>
        <w:rPr>
          <w:rFonts w:hint="eastAsia" w:ascii="仿宋_GB2312" w:hAnsi="仿宋_GB2312" w:eastAsia="仿宋_GB2312" w:cs="仿宋_GB2312"/>
          <w:bCs/>
          <w:color w:val="auto"/>
          <w:sz w:val="32"/>
          <w:szCs w:val="32"/>
        </w:rPr>
        <w:t>列车驾驶员应在国家认证的城市轨道列车司机职业技能鉴定站取得职业准入资格。</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第四十四条【乘客行为规范】</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城市人民政府交通运输和城市轨道交通</w:t>
      </w:r>
      <w:r>
        <w:rPr>
          <w:rFonts w:hint="eastAsia" w:ascii="仿宋_GB2312" w:hAnsi="仿宋_GB2312" w:eastAsia="仿宋_GB2312" w:cs="仿宋_GB2312"/>
          <w:bCs/>
          <w:color w:val="auto"/>
          <w:sz w:val="32"/>
          <w:szCs w:val="32"/>
          <w:lang w:eastAsia="zh-CN"/>
        </w:rPr>
        <w:t>运营</w:t>
      </w:r>
      <w:r>
        <w:rPr>
          <w:rFonts w:hint="eastAsia" w:ascii="仿宋_GB2312" w:hAnsi="仿宋_GB2312" w:eastAsia="仿宋_GB2312" w:cs="仿宋_GB2312"/>
          <w:bCs/>
          <w:color w:val="auto"/>
          <w:sz w:val="32"/>
          <w:szCs w:val="32"/>
        </w:rPr>
        <w:t>主管部门应制定公共交通乘车守则。</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公共交通企业应当在车辆和服务场所醒目位置公布乘客乘车守则。</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乘客应当文明乘车，遵守公共交通乘车规则。</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第四十五条【运营服务衔接】</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城市人民政府交通运输主管部门应当根据城市轨道交通开行计划，及时优化和调整城市公共汽电车网络。</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城市人民政府交通运输和城市轨道交通</w:t>
      </w:r>
      <w:r>
        <w:rPr>
          <w:rFonts w:hint="eastAsia" w:ascii="仿宋_GB2312" w:hAnsi="仿宋_GB2312" w:eastAsia="仿宋_GB2312" w:cs="仿宋_GB2312"/>
          <w:bCs/>
          <w:color w:val="auto"/>
          <w:sz w:val="32"/>
          <w:szCs w:val="32"/>
          <w:lang w:eastAsia="zh-CN"/>
        </w:rPr>
        <w:t>运营</w:t>
      </w:r>
      <w:r>
        <w:rPr>
          <w:rFonts w:hint="eastAsia" w:ascii="仿宋_GB2312" w:hAnsi="仿宋_GB2312" w:eastAsia="仿宋_GB2312" w:cs="仿宋_GB2312"/>
          <w:bCs/>
          <w:color w:val="auto"/>
          <w:sz w:val="32"/>
          <w:szCs w:val="32"/>
        </w:rPr>
        <w:t>主管部门应当指导城市公共汽电车企业和城市轨道交通运营</w:t>
      </w:r>
      <w:r>
        <w:rPr>
          <w:rFonts w:hint="eastAsia" w:ascii="仿宋_GB2312" w:hAnsi="仿宋_GB2312" w:eastAsia="仿宋_GB2312" w:cs="仿宋_GB2312"/>
          <w:bCs/>
          <w:color w:val="auto"/>
          <w:sz w:val="32"/>
          <w:szCs w:val="32"/>
          <w:lang w:eastAsia="zh-CN"/>
        </w:rPr>
        <w:t>企业</w:t>
      </w:r>
      <w:r>
        <w:rPr>
          <w:rFonts w:hint="eastAsia" w:ascii="仿宋_GB2312" w:hAnsi="仿宋_GB2312" w:eastAsia="仿宋_GB2312" w:cs="仿宋_GB2312"/>
          <w:bCs/>
          <w:color w:val="auto"/>
          <w:sz w:val="32"/>
          <w:szCs w:val="32"/>
        </w:rPr>
        <w:t>建立运营协调机制，合理编制城市公共汽电车行车作业计划，保障城市公共汽电车集疏运能力和服务时间等与城市轨道交通运营相协调。</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第四十六条【信息报送】</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公共交通企业应当按照国家有关规定向经营区域相应城市人民政府交通运输</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bCs/>
          <w:color w:val="auto"/>
          <w:sz w:val="32"/>
          <w:szCs w:val="32"/>
        </w:rPr>
        <w:t>城市轨道交通</w:t>
      </w:r>
      <w:r>
        <w:rPr>
          <w:rFonts w:hint="eastAsia" w:ascii="仿宋_GB2312" w:hAnsi="仿宋_GB2312" w:eastAsia="仿宋_GB2312" w:cs="仿宋_GB2312"/>
          <w:bCs/>
          <w:color w:val="auto"/>
          <w:sz w:val="32"/>
          <w:szCs w:val="32"/>
          <w:lang w:eastAsia="zh-CN"/>
        </w:rPr>
        <w:t>运营</w:t>
      </w:r>
      <w:r>
        <w:rPr>
          <w:rFonts w:hint="eastAsia" w:ascii="仿宋_GB2312" w:hAnsi="仿宋_GB2312" w:eastAsia="仿宋_GB2312" w:cs="仿宋_GB2312"/>
          <w:bCs/>
          <w:color w:val="auto"/>
          <w:sz w:val="32"/>
          <w:szCs w:val="32"/>
        </w:rPr>
        <w:t>主管部门如实报送相关信息和数据。</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互联网平台应当完整记录和备份定制公交车辆运营服务信息和乘客在平台发布的信息内容等数据，并按照经营区域城市人民政府相关部门要求提供信息。</w:t>
      </w:r>
    </w:p>
    <w:p>
      <w:pPr>
        <w:pStyle w:val="2"/>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color w:val="auto"/>
          <w:sz w:val="36"/>
          <w:szCs w:val="36"/>
        </w:rPr>
      </w:pPr>
      <w:bookmarkStart w:id="4" w:name="_Toc525727074"/>
      <w:r>
        <w:rPr>
          <w:rFonts w:hint="eastAsia" w:ascii="仿宋_GB2312" w:hAnsi="仿宋_GB2312" w:eastAsia="仿宋_GB2312" w:cs="仿宋_GB2312"/>
          <w:color w:val="auto"/>
          <w:sz w:val="36"/>
          <w:szCs w:val="36"/>
        </w:rPr>
        <w:t>第七章  安全和应急</w:t>
      </w:r>
      <w:bookmarkEnd w:id="4"/>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第四十七条【安全管理职责】</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城市人民政府对本辖区公共交通安全监督管理工作负总体责任，城市人民政府相关部门按照职责分工，指导和督促公共交通企业落实安全生产主体责任，定期开展安全检查，消除安全隐患。</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城市人民政府相关部门和公共交通经营者应当加强公众安全乘车和应急知识宣传教育，增强公众安全防范意识，引导合理应对突发事件。</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第四十八条【企业安全职责】</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公共交通企业是公共交通安全生产的责任主体，应当建立健全企业安全生产管理制度，设置安全生产管理机构，配备安全生产管理人员，保障安全经费投入，定期开展安全检查和隐患排查治理，保障运营安全。</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互联网平台应当落实网络、信息安全防范和管理责任，保障信息安全。定制公交承运人应当履行所属车辆和从业人员的管理职责，保证运营安全。</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w:t>
      </w:r>
      <w:r>
        <w:rPr>
          <w:rFonts w:hint="eastAsia" w:ascii="黑体" w:hAnsi="黑体" w:eastAsia="黑体" w:cs="黑体"/>
          <w:b/>
          <w:bCs/>
          <w:color w:val="auto"/>
          <w:sz w:val="32"/>
          <w:szCs w:val="32"/>
          <w:lang w:eastAsia="zh-CN"/>
        </w:rPr>
        <w:t>四十九</w:t>
      </w:r>
      <w:r>
        <w:rPr>
          <w:rFonts w:hint="eastAsia" w:ascii="黑体" w:hAnsi="黑体" w:eastAsia="黑体" w:cs="黑体"/>
          <w:b/>
          <w:bCs/>
          <w:color w:val="auto"/>
          <w:sz w:val="32"/>
          <w:szCs w:val="32"/>
        </w:rPr>
        <w:t>条【从业人员安全职责】</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公共交通驾驶员应当以乘客安全为首要职责，按照国家有关安全运营规范和基本操作规程等，提供公共交通运营服务，妥善处置突发事件，维护车辆正常运营秩序。</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公共交通车辆异地发生安全事故、公共治安事件等影响运营安全的，公共交通驾驶员应当立即向事发地城市人民政府公安、交通运输等相关部门报告，事发地相关部门应当及时组织救援。</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第五十条【乘客影响安全行为】</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禁止下列危害公共交通运营安全、扰乱乘车秩序的行为：</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（一）辱骂、挑衅、殴打、拉拽驾驶员，或者抢夺方向盘、变速杆等操纵装置；</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（二）非法拦截列车、公共汽电车辆，阻碍列车、公共汽电车辆正常运行，强行上下列车、公共汽电车辆；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（三）擅自进入城市轨道交通控制中心、驾驶室、轨行区、隧道或者其它有禁止进入标志的区域；</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（四）擅自移动、操作、遮盖有警示标志的按钮、开关等装置，非紧急状态下动用紧急或者安全装置；</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（五）携带易燃、易爆、有毒等危险品或者有放射性等有碍他人安全、健康的物品乘车；</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（六）故意干扰公共交通专用通讯频率；</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（七）损坏公共交通设施设备，向城市轨道交通轨行区和隧道投掷危险物品；</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（八）其他危害公共交通运营安全、扰乱乘车秩序的行为。</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第五十</w:t>
      </w:r>
      <w:r>
        <w:rPr>
          <w:rFonts w:hint="eastAsia" w:ascii="黑体" w:hAnsi="黑体" w:eastAsia="黑体" w:cs="黑体"/>
          <w:b/>
          <w:bCs/>
          <w:color w:val="auto"/>
          <w:sz w:val="32"/>
          <w:szCs w:val="32"/>
          <w:lang w:eastAsia="zh-CN"/>
        </w:rPr>
        <w:t>一</w:t>
      </w:r>
      <w:r>
        <w:rPr>
          <w:rFonts w:hint="eastAsia" w:ascii="黑体" w:hAnsi="黑体" w:eastAsia="黑体" w:cs="黑体"/>
          <w:b/>
          <w:bCs/>
          <w:color w:val="auto"/>
          <w:sz w:val="32"/>
          <w:szCs w:val="32"/>
        </w:rPr>
        <w:t>条【安全检查】</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城市人民政府公安机关应当制定和定期</w:t>
      </w:r>
      <w:r>
        <w:rPr>
          <w:rFonts w:hint="eastAsia" w:ascii="仿宋_GB2312" w:hAnsi="仿宋_GB2312" w:eastAsia="仿宋_GB2312" w:cs="仿宋_GB2312"/>
          <w:bCs/>
          <w:color w:val="auto"/>
          <w:sz w:val="32"/>
          <w:szCs w:val="32"/>
          <w:lang w:eastAsia="zh-CN"/>
        </w:rPr>
        <w:t>调整更新</w:t>
      </w:r>
      <w:r>
        <w:rPr>
          <w:rFonts w:hint="eastAsia" w:ascii="仿宋_GB2312" w:hAnsi="仿宋_GB2312" w:eastAsia="仿宋_GB2312" w:cs="仿宋_GB2312"/>
          <w:color w:val="auto"/>
          <w:sz w:val="32"/>
          <w:szCs w:val="32"/>
        </w:rPr>
        <w:t>违禁物品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限带物品目录</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监督和指导本辖区公共交通企业做好安检工作。</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公共交通企业应当在车辆和服务场所醒目位置公布</w:t>
      </w:r>
      <w:r>
        <w:rPr>
          <w:rFonts w:hint="eastAsia" w:ascii="仿宋_GB2312" w:hAnsi="仿宋_GB2312" w:eastAsia="仿宋_GB2312" w:cs="仿宋_GB2312"/>
          <w:color w:val="auto"/>
          <w:sz w:val="32"/>
          <w:szCs w:val="32"/>
        </w:rPr>
        <w:t>违禁物品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限带物品目录</w:t>
      </w:r>
      <w:r>
        <w:rPr>
          <w:rFonts w:hint="eastAsia" w:ascii="仿宋_GB2312" w:hAnsi="仿宋_GB2312" w:eastAsia="仿宋_GB2312" w:cs="仿宋_GB2312"/>
          <w:bCs/>
          <w:color w:val="auto"/>
          <w:sz w:val="32"/>
          <w:szCs w:val="32"/>
        </w:rPr>
        <w:t>。有条件的公共汽电车服务场所，可配备安保人员和相关设施设备，加强安全检查。</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公共交通企业</w:t>
      </w:r>
      <w:r>
        <w:rPr>
          <w:rFonts w:hint="eastAsia" w:ascii="仿宋_GB2312" w:hAnsi="仿宋_GB2312" w:eastAsia="仿宋_GB2312" w:cs="仿宋_GB2312"/>
          <w:color w:val="auto"/>
          <w:sz w:val="32"/>
          <w:szCs w:val="32"/>
        </w:rPr>
        <w:t>应当依法对乘客携带的物品进行安全检查。</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rPr>
        <w:t>携带违禁物品的乘客，</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rPr>
        <w:t>妥善处置并立即报告公安机关依法处理。对携带限带物品或</w:t>
      </w:r>
      <w:r>
        <w:rPr>
          <w:rFonts w:hint="eastAsia" w:ascii="仿宋_GB2312" w:hAnsi="仿宋_GB2312" w:eastAsia="仿宋_GB2312" w:cs="仿宋_GB2312"/>
          <w:color w:val="auto"/>
          <w:sz w:val="32"/>
          <w:szCs w:val="32"/>
        </w:rPr>
        <w:t>者</w:t>
      </w:r>
      <w:r>
        <w:rPr>
          <w:rFonts w:hint="eastAsia" w:ascii="仿宋_GB2312" w:hAnsi="仿宋_GB2312" w:eastAsia="仿宋_GB2312" w:cs="仿宋_GB2312"/>
          <w:color w:val="auto"/>
          <w:sz w:val="32"/>
          <w:szCs w:val="32"/>
        </w:rPr>
        <w:t>拒绝检查的乘客，</w:t>
      </w:r>
      <w:r>
        <w:rPr>
          <w:rFonts w:hint="eastAsia" w:ascii="仿宋_GB2312" w:hAnsi="仿宋_GB2312" w:eastAsia="仿宋_GB2312" w:cs="仿宋_GB2312"/>
          <w:bCs/>
          <w:color w:val="auto"/>
          <w:sz w:val="32"/>
          <w:szCs w:val="32"/>
        </w:rPr>
        <w:t>安全检查工作人员</w:t>
      </w:r>
      <w:r>
        <w:rPr>
          <w:rFonts w:hint="eastAsia" w:ascii="仿宋_GB2312" w:hAnsi="仿宋_GB2312" w:eastAsia="仿宋_GB2312" w:cs="仿宋_GB2312"/>
          <w:color w:val="auto"/>
          <w:sz w:val="32"/>
          <w:szCs w:val="32"/>
        </w:rPr>
        <w:t>应当拒绝其进站</w:t>
      </w:r>
      <w:r>
        <w:rPr>
          <w:rFonts w:hint="eastAsia" w:ascii="仿宋_GB2312" w:hAnsi="仿宋_GB2312" w:eastAsia="仿宋_GB2312" w:cs="仿宋_GB2312"/>
          <w:color w:val="auto"/>
          <w:sz w:val="32"/>
          <w:szCs w:val="32"/>
        </w:rPr>
        <w:t>乘车</w:t>
      </w:r>
      <w:r>
        <w:rPr>
          <w:rFonts w:hint="eastAsia" w:ascii="仿宋_GB2312" w:hAnsi="仿宋_GB2312" w:eastAsia="仿宋_GB2312" w:cs="仿宋_GB2312"/>
          <w:color w:val="auto"/>
          <w:sz w:val="32"/>
          <w:szCs w:val="32"/>
        </w:rPr>
        <w:t>；强行进站</w:t>
      </w:r>
      <w:r>
        <w:rPr>
          <w:rFonts w:hint="eastAsia" w:ascii="仿宋_GB2312" w:hAnsi="仿宋_GB2312" w:eastAsia="仿宋_GB2312" w:cs="仿宋_GB2312"/>
          <w:color w:val="auto"/>
          <w:sz w:val="32"/>
          <w:szCs w:val="32"/>
        </w:rPr>
        <w:t>乘车</w:t>
      </w:r>
      <w:r>
        <w:rPr>
          <w:rFonts w:hint="eastAsia" w:ascii="仿宋_GB2312" w:hAnsi="仿宋_GB2312" w:eastAsia="仿宋_GB2312" w:cs="仿宋_GB2312"/>
          <w:color w:val="auto"/>
          <w:sz w:val="32"/>
          <w:szCs w:val="32"/>
        </w:rPr>
        <w:t>的，应当立即予以制止并报告公安机关依法处理</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第五十</w:t>
      </w: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条【安全奖励制度】</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城市人民政府应当建立公共交通安全运营举报奖励制度，对公众积极参与公共交通安全防范和救援工作，发现报告有关问题和隐患，检举揭发和制止危害公共交通运营安全有关违法犯罪的行为等给予奖励。</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第五十</w:t>
      </w: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rPr>
        <w:t>条【公共汽电车车辆安全设施】</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拟投入运营的城市公共汽电车应当按照国家有关规定配置运营安全设施和设备，并满足以下条件：</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（一）符合机动车辆安全技术要求；</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（二）安装并正常使用符合国家标准的卫星定位行车安全信息设备和视频监控设备等；</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（三）车辆驾驶区域张贴警示标语，在车辆驾驶区域设置安全防护隔离设施；</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（四）配置应急手动开门装置、紧急报警装置，鼓励配置自动爆玻逃生装置；</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（五）配备必要的消防设施设备；</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（六）按照相关规定，应当配置的其他运营安全设施设备。</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第五十</w:t>
      </w:r>
      <w:r>
        <w:rPr>
          <w:rFonts w:hint="eastAsia" w:ascii="黑体" w:hAnsi="黑体" w:eastAsia="黑体" w:cs="黑体"/>
          <w:b/>
          <w:bCs/>
          <w:color w:val="auto"/>
          <w:sz w:val="32"/>
          <w:szCs w:val="32"/>
          <w:lang w:eastAsia="zh-CN"/>
        </w:rPr>
        <w:t>四</w:t>
      </w:r>
      <w:r>
        <w:rPr>
          <w:rFonts w:hint="eastAsia" w:ascii="黑体" w:hAnsi="黑体" w:eastAsia="黑体" w:cs="黑体"/>
          <w:b/>
          <w:bCs/>
          <w:color w:val="auto"/>
          <w:sz w:val="32"/>
          <w:szCs w:val="32"/>
        </w:rPr>
        <w:t>条【公共汽电车运行管理】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城市公共汽电车企业应当严格按照机动车行驶证核定人数载客运行，城市公共汽电车线路途经高速公路的，不得使用低底盘的公共汽电车，不得设立站席，并配备安全带。</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低底盘的公共汽电车辆途经城市快速路的，车辆运行时速不得超过70公里。</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第五十</w:t>
      </w:r>
      <w:r>
        <w:rPr>
          <w:rFonts w:hint="eastAsia" w:ascii="黑体" w:hAnsi="黑体" w:eastAsia="黑体" w:cs="黑体"/>
          <w:b/>
          <w:bCs/>
          <w:color w:val="auto"/>
          <w:sz w:val="32"/>
          <w:szCs w:val="32"/>
          <w:lang w:eastAsia="zh-CN"/>
        </w:rPr>
        <w:t>五</w:t>
      </w:r>
      <w:r>
        <w:rPr>
          <w:rFonts w:hint="eastAsia" w:ascii="黑体" w:hAnsi="黑体" w:eastAsia="黑体" w:cs="黑体"/>
          <w:b/>
          <w:bCs/>
          <w:color w:val="auto"/>
          <w:sz w:val="32"/>
          <w:szCs w:val="32"/>
        </w:rPr>
        <w:t>条【城市轨道交通安全保护区管理】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城市人民政府应当组织有关部门按照国家相关标准划定城市轨道交通安全保护区，制定安全保护区管理制度，做好安全保护区巡逻查控工作，保障城市轨道交通运营安全。</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第五十</w:t>
      </w:r>
      <w:r>
        <w:rPr>
          <w:rFonts w:hint="eastAsia" w:ascii="黑体" w:hAnsi="黑体" w:eastAsia="黑体" w:cs="黑体"/>
          <w:b/>
          <w:bCs/>
          <w:color w:val="auto"/>
          <w:sz w:val="32"/>
          <w:szCs w:val="32"/>
          <w:lang w:eastAsia="zh-CN"/>
        </w:rPr>
        <w:t>六</w:t>
      </w:r>
      <w:r>
        <w:rPr>
          <w:rFonts w:hint="eastAsia" w:ascii="黑体" w:hAnsi="黑体" w:eastAsia="黑体" w:cs="黑体"/>
          <w:b/>
          <w:bCs/>
          <w:color w:val="auto"/>
          <w:sz w:val="32"/>
          <w:szCs w:val="32"/>
        </w:rPr>
        <w:t>条【城市轨道交通安全评估】</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城市轨道交通</w:t>
      </w:r>
      <w:r>
        <w:rPr>
          <w:rFonts w:hint="eastAsia" w:ascii="仿宋_GB2312" w:hAnsi="仿宋_GB2312" w:eastAsia="仿宋_GB2312" w:cs="仿宋_GB2312"/>
          <w:bCs/>
          <w:color w:val="auto"/>
          <w:sz w:val="32"/>
          <w:szCs w:val="32"/>
          <w:lang w:eastAsia="zh-CN"/>
        </w:rPr>
        <w:t>运营</w:t>
      </w:r>
      <w:r>
        <w:rPr>
          <w:rFonts w:hint="eastAsia" w:ascii="仿宋_GB2312" w:hAnsi="仿宋_GB2312" w:eastAsia="仿宋_GB2312" w:cs="仿宋_GB2312"/>
          <w:bCs/>
          <w:color w:val="auto"/>
          <w:sz w:val="32"/>
          <w:szCs w:val="32"/>
        </w:rPr>
        <w:t>主管部门应当对城市轨道交通运营</w:t>
      </w:r>
      <w:r>
        <w:rPr>
          <w:rFonts w:hint="eastAsia" w:ascii="仿宋_GB2312" w:hAnsi="仿宋_GB2312" w:eastAsia="仿宋_GB2312" w:cs="仿宋_GB2312"/>
          <w:bCs/>
          <w:color w:val="auto"/>
          <w:sz w:val="32"/>
          <w:szCs w:val="32"/>
          <w:lang w:eastAsia="zh-CN"/>
        </w:rPr>
        <w:t>企业</w:t>
      </w:r>
      <w:r>
        <w:rPr>
          <w:rFonts w:hint="eastAsia" w:ascii="仿宋_GB2312" w:hAnsi="仿宋_GB2312" w:eastAsia="仿宋_GB2312" w:cs="仿宋_GB2312"/>
          <w:bCs/>
          <w:color w:val="auto"/>
          <w:sz w:val="32"/>
          <w:szCs w:val="32"/>
        </w:rPr>
        <w:t>安全管理工作进行监督检查，按照国家相关规定，组织开展初期运营前、正式运营前和运营期间安全评估，督促运营单位及时消除安全隐患。</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第五十</w:t>
      </w:r>
      <w:r>
        <w:rPr>
          <w:rFonts w:hint="eastAsia" w:ascii="黑体" w:hAnsi="黑体" w:eastAsia="黑体" w:cs="黑体"/>
          <w:b/>
          <w:bCs/>
          <w:color w:val="auto"/>
          <w:sz w:val="32"/>
          <w:szCs w:val="32"/>
          <w:lang w:eastAsia="zh-CN"/>
        </w:rPr>
        <w:t>七</w:t>
      </w:r>
      <w:r>
        <w:rPr>
          <w:rFonts w:hint="eastAsia" w:ascii="黑体" w:hAnsi="黑体" w:eastAsia="黑体" w:cs="黑体"/>
          <w:b/>
          <w:bCs/>
          <w:color w:val="auto"/>
          <w:sz w:val="32"/>
          <w:szCs w:val="32"/>
        </w:rPr>
        <w:t>条【应急预案】</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城市人民政府应当建立公共交通应急预案体系，相关部门应当做好公共交通应急预案的宣传和培训，定期组织应急演练。</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公共交通企业承担所属公共交通车辆和服务设施突发事件应急管理主体责任，制定本企业应急预案，报所在地相应城市人民政府交通运输或城市轨道交通</w:t>
      </w:r>
      <w:r>
        <w:rPr>
          <w:rFonts w:hint="eastAsia" w:ascii="仿宋_GB2312" w:hAnsi="仿宋_GB2312" w:eastAsia="仿宋_GB2312" w:cs="仿宋_GB2312"/>
          <w:bCs/>
          <w:color w:val="auto"/>
          <w:sz w:val="32"/>
          <w:szCs w:val="32"/>
          <w:lang w:eastAsia="zh-CN"/>
        </w:rPr>
        <w:t>运营</w:t>
      </w:r>
      <w:r>
        <w:rPr>
          <w:rFonts w:hint="eastAsia" w:ascii="仿宋_GB2312" w:hAnsi="仿宋_GB2312" w:eastAsia="仿宋_GB2312" w:cs="仿宋_GB2312"/>
          <w:bCs/>
          <w:color w:val="auto"/>
          <w:sz w:val="32"/>
          <w:szCs w:val="32"/>
        </w:rPr>
        <w:t>主管部门备案，并定期演练。</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第五十</w:t>
      </w:r>
      <w:r>
        <w:rPr>
          <w:rFonts w:hint="eastAsia" w:ascii="黑体" w:hAnsi="黑体" w:eastAsia="黑体" w:cs="黑体"/>
          <w:b/>
          <w:bCs/>
          <w:color w:val="auto"/>
          <w:sz w:val="32"/>
          <w:szCs w:val="32"/>
          <w:lang w:eastAsia="zh-CN"/>
        </w:rPr>
        <w:t>八</w:t>
      </w:r>
      <w:r>
        <w:rPr>
          <w:rFonts w:hint="eastAsia" w:ascii="黑体" w:hAnsi="黑体" w:eastAsia="黑体" w:cs="黑体"/>
          <w:b/>
          <w:bCs/>
          <w:color w:val="auto"/>
          <w:sz w:val="32"/>
          <w:szCs w:val="32"/>
        </w:rPr>
        <w:t>条【应急联动】</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城市人民政府相关部门应当建立城市公共汽电车和城市轨道交通之间的应急联动机制，定期组织开展联合应急演练。</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地级以上市人民政府交通运输主管部门应当根据跨市公交发展实际等，建立跨区域公共交通突发事件应急合作机制，协同应对和处置突发事件。</w:t>
      </w:r>
    </w:p>
    <w:p>
      <w:pPr>
        <w:pStyle w:val="2"/>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第八章 保障与监督</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w:t>
      </w:r>
      <w:r>
        <w:rPr>
          <w:rFonts w:hint="eastAsia" w:ascii="黑体" w:hAnsi="黑体" w:eastAsia="黑体" w:cs="黑体"/>
          <w:b/>
          <w:bCs/>
          <w:color w:val="auto"/>
          <w:sz w:val="32"/>
          <w:szCs w:val="32"/>
          <w:lang w:eastAsia="zh-CN"/>
        </w:rPr>
        <w:t>五十九</w:t>
      </w:r>
      <w:r>
        <w:rPr>
          <w:rFonts w:hint="eastAsia" w:ascii="黑体" w:hAnsi="黑体" w:eastAsia="黑体" w:cs="黑体"/>
          <w:b/>
          <w:bCs/>
          <w:color w:val="auto"/>
          <w:sz w:val="32"/>
          <w:szCs w:val="32"/>
        </w:rPr>
        <w:t>条【公共交通资金保障】</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城市人民政府应当根据财政保障能力和公共交通可持续发展等，建立基本公共交通服务补贴补偿制度，并将补贴补偿资金纳入年度公共财政预算。</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城市公共汽电车企业应当设立全资或者绝对控股的子公司从事多元化公共交通经营，并实行成本费用独立核算。</w:t>
      </w:r>
      <w:r>
        <w:rPr>
          <w:rFonts w:hint="eastAsia" w:ascii="仿宋_GB2312" w:hAnsi="仿宋_GB2312" w:eastAsia="仿宋_GB2312" w:cs="仿宋_GB2312"/>
          <w:bCs/>
          <w:color w:val="auto"/>
          <w:sz w:val="32"/>
          <w:szCs w:val="32"/>
        </w:rPr>
        <w:t xml:space="preserve"> </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多元化公共交通不享受国家和省对城市公共汽电车的有关补贴和税收优惠。</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第六十条【补贴补偿范围】</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对公共交通企业执行城市人民政府规定的以下基本公共交通服务造成的政策性亏损，城市人民政府应当给予全额补偿：</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（一）票价优惠政策；</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（二）特殊群体减免票政策；</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（三）指令性运输保障任务；</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（四）城市人民政府规定给予全额补偿的行为。</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对</w:t>
      </w:r>
      <w:r>
        <w:rPr>
          <w:rFonts w:hint="eastAsia" w:ascii="仿宋_GB2312" w:hAnsi="仿宋_GB2312" w:eastAsia="仿宋_GB2312" w:cs="仿宋_GB2312"/>
          <w:bCs/>
          <w:color w:val="auto"/>
          <w:sz w:val="32"/>
          <w:szCs w:val="32"/>
        </w:rPr>
        <w:t>公共交通企业</w:t>
      </w:r>
      <w:r>
        <w:rPr>
          <w:rFonts w:hint="eastAsia" w:ascii="仿宋_GB2312" w:hAnsi="仿宋_GB2312" w:eastAsia="仿宋_GB2312" w:cs="仿宋_GB2312"/>
          <w:bCs/>
          <w:color w:val="auto"/>
          <w:sz w:val="32"/>
          <w:szCs w:val="32"/>
        </w:rPr>
        <w:t>在技术改造、节能减排、经营冷僻线路等方面的投入</w:t>
      </w:r>
      <w:r>
        <w:rPr>
          <w:rFonts w:hint="eastAsia" w:ascii="仿宋_GB2312" w:hAnsi="仿宋_GB2312" w:eastAsia="仿宋_GB2312" w:cs="仿宋_GB2312"/>
          <w:bCs/>
          <w:color w:val="auto"/>
          <w:sz w:val="32"/>
          <w:szCs w:val="32"/>
        </w:rPr>
        <w:t>，以及低票价政策造成的经营性亏损</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rPr>
        <w:t>城市人民政府应当</w:t>
      </w:r>
      <w:r>
        <w:rPr>
          <w:rFonts w:hint="eastAsia" w:ascii="仿宋_GB2312" w:hAnsi="仿宋_GB2312" w:eastAsia="仿宋_GB2312" w:cs="仿宋_GB2312"/>
          <w:bCs/>
          <w:color w:val="auto"/>
          <w:sz w:val="32"/>
          <w:szCs w:val="32"/>
        </w:rPr>
        <w:t>给予适当补贴</w:t>
      </w:r>
      <w:r>
        <w:rPr>
          <w:rFonts w:hint="eastAsia" w:ascii="仿宋_GB2312" w:hAnsi="仿宋_GB2312" w:eastAsia="仿宋_GB2312" w:cs="仿宋_GB2312"/>
          <w:bCs/>
          <w:color w:val="auto"/>
          <w:sz w:val="32"/>
          <w:szCs w:val="32"/>
        </w:rPr>
        <w:t>，保障企业合法权益。</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第六十</w:t>
      </w:r>
      <w:r>
        <w:rPr>
          <w:rFonts w:hint="eastAsia" w:ascii="黑体" w:hAnsi="黑体" w:eastAsia="黑体" w:cs="黑体"/>
          <w:b/>
          <w:bCs/>
          <w:color w:val="auto"/>
          <w:sz w:val="32"/>
          <w:szCs w:val="32"/>
          <w:lang w:eastAsia="zh-CN"/>
        </w:rPr>
        <w:t>一</w:t>
      </w:r>
      <w:r>
        <w:rPr>
          <w:rFonts w:hint="eastAsia" w:ascii="黑体" w:hAnsi="黑体" w:eastAsia="黑体" w:cs="黑体"/>
          <w:b/>
          <w:bCs/>
          <w:color w:val="auto"/>
          <w:sz w:val="32"/>
          <w:szCs w:val="32"/>
        </w:rPr>
        <w:t>条【补贴补偿资金核算】</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城市人民政府财政主管部门应当会同交通运输等部门，定期清算基本公共交通补贴补偿资金规模，依法加强补贴补偿资金使用监督。</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第六十</w:t>
      </w: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条【票制票价】</w:t>
      </w:r>
    </w:p>
    <w:p>
      <w:pPr>
        <w:pageBreakBefore w:val="0"/>
        <w:widowControl/>
        <w:shd w:val="clear" w:color="auto" w:fill="auto"/>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城市人民政府发展改革部门应当会同交通运输、财政等部门，</w:t>
      </w:r>
      <w:r>
        <w:rPr>
          <w:rFonts w:hint="eastAsia" w:ascii="仿宋_GB2312" w:hAnsi="仿宋_GB2312" w:eastAsia="仿宋_GB2312" w:cs="仿宋_GB2312"/>
          <w:bCs/>
          <w:color w:val="auto"/>
          <w:sz w:val="32"/>
          <w:szCs w:val="32"/>
          <w:lang w:bidi="ar-SA"/>
        </w:rPr>
        <w:t>按照引导公众优先选择公共交通出行和可持续发展的原则，</w:t>
      </w:r>
      <w:r>
        <w:rPr>
          <w:rFonts w:hint="eastAsia" w:ascii="仿宋_GB2312" w:hAnsi="仿宋_GB2312" w:eastAsia="仿宋_GB2312" w:cs="仿宋_GB2312"/>
          <w:bCs/>
          <w:color w:val="auto"/>
          <w:sz w:val="32"/>
          <w:szCs w:val="32"/>
        </w:rPr>
        <w:t>综合社会承受能力、企业经营成本、财政补贴补偿以及与其他运输方式比价关系等因素，建立基本公共交通票价机制，并根据经营成本变化等因素，</w:t>
      </w:r>
      <w:r>
        <w:rPr>
          <w:rFonts w:hint="eastAsia" w:ascii="仿宋_GB2312" w:hAnsi="仿宋_GB2312" w:eastAsia="仿宋_GB2312" w:cs="仿宋_GB2312"/>
          <w:bCs/>
          <w:color w:val="auto"/>
          <w:sz w:val="32"/>
          <w:szCs w:val="32"/>
        </w:rPr>
        <w:t>每三年对基本公共交通票价进行评估，根据评估结果</w:t>
      </w:r>
      <w:r>
        <w:rPr>
          <w:rFonts w:hint="eastAsia" w:ascii="仿宋_GB2312" w:hAnsi="仿宋_GB2312" w:eastAsia="仿宋_GB2312" w:cs="仿宋_GB2312"/>
          <w:bCs/>
          <w:color w:val="auto"/>
          <w:sz w:val="32"/>
          <w:szCs w:val="32"/>
        </w:rPr>
        <w:t>按照程序调整票价。</w:t>
      </w:r>
    </w:p>
    <w:p>
      <w:pPr>
        <w:pageBreakBefore w:val="0"/>
        <w:widowControl/>
        <w:shd w:val="clear" w:color="auto" w:fill="auto"/>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城市公共交通企业应当</w:t>
      </w:r>
      <w:r>
        <w:rPr>
          <w:rFonts w:hint="eastAsia" w:ascii="仿宋_GB2312" w:hAnsi="仿宋_GB2312" w:eastAsia="仿宋_GB2312" w:cs="仿宋_GB2312"/>
          <w:bCs/>
          <w:color w:val="auto"/>
          <w:sz w:val="32"/>
          <w:szCs w:val="32"/>
        </w:rPr>
        <w:t>执行价格主管部门依法核准的票价，落实公交优惠、优待政策，为乘客提供合法有效的乘车凭证。多元化公共交通实行市场调节价，互联网平台和定制公交承运人应当</w:t>
      </w:r>
      <w:r>
        <w:rPr>
          <w:rFonts w:hint="eastAsia" w:ascii="仿宋_GB2312" w:hAnsi="仿宋_GB2312" w:eastAsia="仿宋_GB2312" w:cs="仿宋_GB2312"/>
          <w:bCs/>
          <w:color w:val="auto"/>
          <w:sz w:val="32"/>
          <w:szCs w:val="32"/>
          <w:lang w:bidi="ar-SA"/>
        </w:rPr>
        <w:t>实行明码标价，</w:t>
      </w:r>
      <w:r>
        <w:rPr>
          <w:rFonts w:hint="eastAsia" w:ascii="仿宋_GB2312" w:hAnsi="仿宋_GB2312" w:eastAsia="仿宋_GB2312" w:cs="仿宋_GB2312"/>
          <w:bCs/>
          <w:color w:val="auto"/>
          <w:sz w:val="32"/>
          <w:szCs w:val="32"/>
        </w:rPr>
        <w:t>并提供有效的乘车发票。</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第六十</w:t>
      </w: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rPr>
        <w:t>条【发展评价】</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省人民政府交通运输主管部门定期组织开展公共交通服务满意度调查，调查结果向社会公布，并作为城市人民政府公共交通发展评价的主要依据。</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第六十</w:t>
      </w:r>
      <w:r>
        <w:rPr>
          <w:rFonts w:hint="eastAsia" w:ascii="黑体" w:hAnsi="黑体" w:eastAsia="黑体" w:cs="黑体"/>
          <w:b/>
          <w:bCs/>
          <w:color w:val="auto"/>
          <w:sz w:val="32"/>
          <w:szCs w:val="32"/>
          <w:lang w:eastAsia="zh-CN"/>
        </w:rPr>
        <w:t>四</w:t>
      </w:r>
      <w:r>
        <w:rPr>
          <w:rFonts w:hint="eastAsia" w:ascii="黑体" w:hAnsi="黑体" w:eastAsia="黑体" w:cs="黑体"/>
          <w:b/>
          <w:bCs/>
          <w:color w:val="auto"/>
          <w:sz w:val="32"/>
          <w:szCs w:val="32"/>
        </w:rPr>
        <w:t>条【诚信建设】</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城市人民政府交通运输主管部门应当建立公共交通企业、互联网平台和从业人员诚信评价制度，定期组织开展考核评价，向社会公布考核评价结果，并提供公开信息查询服务。</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省人民政府交通运输主管部门建立全省公共交通行业黑名单制度和公共交通企业、从业人员、乘客失信联合惩戒机制。</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第六十</w:t>
      </w:r>
      <w:r>
        <w:rPr>
          <w:rFonts w:hint="eastAsia" w:ascii="黑体" w:hAnsi="黑体" w:eastAsia="黑体" w:cs="黑体"/>
          <w:b/>
          <w:bCs/>
          <w:color w:val="auto"/>
          <w:sz w:val="32"/>
          <w:szCs w:val="32"/>
          <w:lang w:eastAsia="zh-CN"/>
        </w:rPr>
        <w:t>五</w:t>
      </w:r>
      <w:r>
        <w:rPr>
          <w:rFonts w:hint="eastAsia" w:ascii="黑体" w:hAnsi="黑体" w:eastAsia="黑体" w:cs="黑体"/>
          <w:b/>
          <w:bCs/>
          <w:color w:val="auto"/>
          <w:sz w:val="32"/>
          <w:szCs w:val="32"/>
        </w:rPr>
        <w:t>条【投诉机制】</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城市人民政府交通运输和城市轨道交通</w:t>
      </w:r>
      <w:r>
        <w:rPr>
          <w:rFonts w:hint="eastAsia" w:ascii="仿宋_GB2312" w:hAnsi="仿宋_GB2312" w:eastAsia="仿宋_GB2312" w:cs="仿宋_GB2312"/>
          <w:bCs/>
          <w:color w:val="auto"/>
          <w:sz w:val="32"/>
          <w:szCs w:val="32"/>
          <w:lang w:eastAsia="zh-CN"/>
        </w:rPr>
        <w:t>运营</w:t>
      </w:r>
      <w:r>
        <w:rPr>
          <w:rFonts w:hint="eastAsia" w:ascii="仿宋_GB2312" w:hAnsi="仿宋_GB2312" w:eastAsia="仿宋_GB2312" w:cs="仿宋_GB2312"/>
          <w:bCs/>
          <w:color w:val="auto"/>
          <w:sz w:val="32"/>
          <w:szCs w:val="32"/>
        </w:rPr>
        <w:t>主管部门、公共交通企业、互联网平台应当建立投诉受理制度，公开举报和投诉电话、通讯地址、电子邮箱等，接受社会监督</w:t>
      </w:r>
      <w:r>
        <w:rPr>
          <w:rFonts w:hint="eastAsia" w:ascii="仿宋_GB2312" w:hAnsi="仿宋_GB2312" w:eastAsia="仿宋_GB2312" w:cs="仿宋_GB2312"/>
          <w:bCs/>
          <w:color w:val="auto"/>
          <w:sz w:val="32"/>
          <w:szCs w:val="32"/>
          <w:lang w:eastAsia="zh-CN"/>
        </w:rPr>
        <w:t>，并于</w:t>
      </w:r>
      <w:r>
        <w:rPr>
          <w:rFonts w:hint="eastAsia" w:ascii="仿宋_GB2312" w:hAnsi="仿宋_GB2312" w:eastAsia="仿宋_GB2312" w:cs="仿宋_GB2312"/>
          <w:bCs/>
          <w:color w:val="auto"/>
          <w:sz w:val="32"/>
          <w:szCs w:val="32"/>
        </w:rPr>
        <w:t>收到乘客投诉之日起</w:t>
      </w:r>
      <w:r>
        <w:rPr>
          <w:rFonts w:hint="eastAsia" w:ascii="仿宋_GB2312" w:hAnsi="仿宋_GB2312" w:eastAsia="仿宋_GB2312" w:cs="仿宋_GB2312"/>
          <w:bCs/>
          <w:color w:val="auto"/>
          <w:sz w:val="32"/>
          <w:szCs w:val="32"/>
          <w:lang w:eastAsia="zh-CN"/>
        </w:rPr>
        <w:t>7个工作日</w:t>
      </w:r>
      <w:r>
        <w:rPr>
          <w:rFonts w:hint="eastAsia" w:ascii="仿宋_GB2312" w:hAnsi="仿宋_GB2312" w:eastAsia="仿宋_GB2312" w:cs="仿宋_GB2312"/>
          <w:bCs/>
          <w:color w:val="auto"/>
          <w:sz w:val="32"/>
          <w:szCs w:val="32"/>
        </w:rPr>
        <w:t>内作出答复。跨市公交服务投诉实行首问责任制。</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第六十</w:t>
      </w:r>
      <w:r>
        <w:rPr>
          <w:rFonts w:hint="eastAsia" w:ascii="黑体" w:hAnsi="黑体" w:eastAsia="黑体" w:cs="黑体"/>
          <w:b/>
          <w:bCs/>
          <w:color w:val="auto"/>
          <w:sz w:val="32"/>
          <w:szCs w:val="32"/>
          <w:lang w:eastAsia="zh-CN"/>
        </w:rPr>
        <w:t>六</w:t>
      </w:r>
      <w:r>
        <w:rPr>
          <w:rFonts w:hint="eastAsia" w:ascii="黑体" w:hAnsi="黑体" w:eastAsia="黑体" w:cs="黑体"/>
          <w:b/>
          <w:bCs/>
          <w:color w:val="auto"/>
          <w:sz w:val="32"/>
          <w:szCs w:val="32"/>
        </w:rPr>
        <w:t>条【监督检查取证】</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城市人民政府相关部门执法人员在实施监督检查时，可以向有关单位和个人了解情况，查阅、复制有关资料，涉及商业秘密、个人隐私的应当保密，被监督检查的单位和个人应当如实提供有关资料或者情况。</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依法调取的交通监控视频、汽车行驶记录仪、车辆违章抓拍系统或者卫星定位系统记录、采集的资料，经确认后可以作为认定违法违规事实的依据。</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公安</w:t>
      </w:r>
      <w:r>
        <w:rPr>
          <w:rFonts w:hint="eastAsia" w:ascii="仿宋_GB2312" w:hAnsi="仿宋_GB2312" w:eastAsia="仿宋_GB2312" w:cs="仿宋_GB2312"/>
          <w:bCs/>
          <w:color w:val="auto"/>
          <w:sz w:val="32"/>
          <w:szCs w:val="32"/>
          <w:lang w:eastAsia="zh-CN"/>
        </w:rPr>
        <w:t>机关</w:t>
      </w:r>
      <w:r>
        <w:rPr>
          <w:rFonts w:hint="eastAsia" w:ascii="仿宋_GB2312" w:hAnsi="仿宋_GB2312" w:eastAsia="仿宋_GB2312" w:cs="仿宋_GB2312"/>
          <w:bCs/>
          <w:color w:val="auto"/>
          <w:sz w:val="32"/>
          <w:szCs w:val="32"/>
        </w:rPr>
        <w:t>不得以“驾驶与准驾车型不符”为由，对持有有效A3驾驶证件的公共汽电车驾驶员驾驶车辆使用性质为“城市公交”的大型客车进行处罚。</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第六十</w:t>
      </w:r>
      <w:r>
        <w:rPr>
          <w:rFonts w:hint="eastAsia" w:ascii="黑体" w:hAnsi="黑体" w:eastAsia="黑体" w:cs="黑体"/>
          <w:b/>
          <w:bCs/>
          <w:color w:val="auto"/>
          <w:sz w:val="32"/>
          <w:szCs w:val="32"/>
          <w:lang w:eastAsia="zh-CN"/>
        </w:rPr>
        <w:t>七</w:t>
      </w:r>
      <w:r>
        <w:rPr>
          <w:rFonts w:hint="eastAsia" w:ascii="黑体" w:hAnsi="黑体" w:eastAsia="黑体" w:cs="黑体"/>
          <w:b/>
          <w:bCs/>
          <w:color w:val="auto"/>
          <w:sz w:val="32"/>
          <w:szCs w:val="32"/>
        </w:rPr>
        <w:t>条【互联网平台监管】</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城市人民政府交通运输主管部门应当建设和完善公共交通监督管理系统，加强互联网平台监督管理。</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城市人民政府交通运输、公安、通信、网信、税务、人民银行等部门应当按照相关职责分工，对互联网平台实施监督管理。</w:t>
      </w:r>
    </w:p>
    <w:p>
      <w:pPr>
        <w:pStyle w:val="2"/>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color w:val="auto"/>
          <w:sz w:val="36"/>
          <w:szCs w:val="36"/>
        </w:rPr>
      </w:pPr>
      <w:bookmarkStart w:id="5" w:name="_Toc525727076"/>
      <w:r>
        <w:rPr>
          <w:rFonts w:hint="eastAsia" w:ascii="仿宋_GB2312" w:hAnsi="仿宋_GB2312" w:eastAsia="仿宋_GB2312" w:cs="仿宋_GB2312"/>
          <w:color w:val="auto"/>
          <w:sz w:val="36"/>
          <w:szCs w:val="36"/>
        </w:rPr>
        <w:t>第九章 法律责任</w:t>
      </w:r>
      <w:bookmarkEnd w:id="5"/>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第六十</w:t>
      </w:r>
      <w:r>
        <w:rPr>
          <w:rFonts w:hint="eastAsia" w:ascii="黑体" w:hAnsi="黑体" w:eastAsia="黑体" w:cs="黑体"/>
          <w:b/>
          <w:bCs/>
          <w:color w:val="auto"/>
          <w:sz w:val="32"/>
          <w:szCs w:val="32"/>
          <w:lang w:eastAsia="zh-CN"/>
        </w:rPr>
        <w:t>八</w:t>
      </w:r>
      <w:r>
        <w:rPr>
          <w:rFonts w:hint="eastAsia" w:ascii="黑体" w:hAnsi="黑体" w:eastAsia="黑体" w:cs="黑体"/>
          <w:b/>
          <w:bCs/>
          <w:color w:val="auto"/>
          <w:sz w:val="32"/>
          <w:szCs w:val="32"/>
        </w:rPr>
        <w:t>条【规划建设罚则】</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违反本条例第九条规定，未经法定程序批准，擅自改变</w:t>
      </w:r>
    </w:p>
    <w:p>
      <w:pPr>
        <w:pageBreakBefore w:val="0"/>
        <w:widowControl/>
        <w:kinsoku/>
        <w:wordWrap/>
        <w:overflowPunct/>
        <w:topLinePunct w:val="0"/>
        <w:autoSpaceDE/>
        <w:autoSpaceDN/>
        <w:bidi w:val="0"/>
        <w:adjustRightInd/>
        <w:spacing w:line="560" w:lineRule="exact"/>
        <w:ind w:left="0" w:leftChars="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城市公共交通服务设施用地使用性质、用途或规模的，由城市人民政府自然资源主管部门依照国家有关城乡规划、土地管理的法律、行政法规的规定处罚。</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w:t>
      </w:r>
      <w:r>
        <w:rPr>
          <w:rFonts w:hint="eastAsia" w:ascii="黑体" w:hAnsi="黑体" w:eastAsia="黑体" w:cs="黑体"/>
          <w:b/>
          <w:bCs/>
          <w:color w:val="auto"/>
          <w:sz w:val="32"/>
          <w:szCs w:val="32"/>
          <w:lang w:eastAsia="zh-CN"/>
        </w:rPr>
        <w:t>六十九</w:t>
      </w:r>
      <w:r>
        <w:rPr>
          <w:rFonts w:hint="eastAsia" w:ascii="黑体" w:hAnsi="黑体" w:eastAsia="黑体" w:cs="黑体"/>
          <w:b/>
          <w:bCs/>
          <w:color w:val="auto"/>
          <w:sz w:val="32"/>
          <w:szCs w:val="32"/>
        </w:rPr>
        <w:t>条【设施保护罚则】</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违反本条例第十五条规定，有下列行为之一的，由城市人民政府交通运输主管部门责令限期改正，对损坏的设施依法赔偿，并对个人处一万以下罚款，对单位处一万以上五万以下罚款；构成犯罪的，依法追究刑事责任：</w:t>
      </w:r>
    </w:p>
    <w:p>
      <w:pPr>
        <w:pageBreakBefore w:val="0"/>
        <w:numPr>
          <w:ilvl w:val="0"/>
          <w:numId w:val="1"/>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毁坏城市公共交通配套设施的；</w:t>
      </w:r>
    </w:p>
    <w:p>
      <w:pPr>
        <w:pageBreakBefore w:val="0"/>
        <w:numPr>
          <w:ilvl w:val="0"/>
          <w:numId w:val="1"/>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擅自占用、移动、拆除城市公共交通配套设施的；</w:t>
      </w:r>
    </w:p>
    <w:p>
      <w:pPr>
        <w:pageBreakBefore w:val="0"/>
        <w:numPr>
          <w:ilvl w:val="0"/>
          <w:numId w:val="1"/>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经同意占用、移动、拆除城市公共交通配套设施，未按照有关规定及时恢复、补建或者补偿的。</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第七十条【经营资质罚则】</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违反本条例第十八条、第二十四条、第二十五条、第二十六条规定，未取得基本公共交通特许经营权、多元化公共交通经营资格、专线公交运营权以及定制公交互联网平台资格认定擅自从事公共交通服务的，由城市人民政府交通运输主管部门责令停止运营，并处三万元以上十万元以下罚款；有违法所得的，没收违法所得。</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第七十</w:t>
      </w:r>
      <w:r>
        <w:rPr>
          <w:rFonts w:hint="eastAsia" w:ascii="黑体" w:hAnsi="黑体" w:eastAsia="黑体" w:cs="黑体"/>
          <w:b/>
          <w:bCs/>
          <w:color w:val="auto"/>
          <w:sz w:val="32"/>
          <w:szCs w:val="32"/>
          <w:lang w:eastAsia="zh-CN"/>
        </w:rPr>
        <w:t>一</w:t>
      </w:r>
      <w:r>
        <w:rPr>
          <w:rFonts w:hint="eastAsia" w:ascii="黑体" w:hAnsi="黑体" w:eastAsia="黑体" w:cs="黑体"/>
          <w:b/>
          <w:bCs/>
          <w:color w:val="auto"/>
          <w:sz w:val="32"/>
          <w:szCs w:val="32"/>
        </w:rPr>
        <w:t>条【多元化公共交通罚则】</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多元化公共交通企业有下列行为之一的，由城市人民政府交通运输主管部门责令限期改正，并处三万元以上十万元以下罚款；</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（一）多元化公共交通企业利用15座以下城市公共汽车或者普通客车从事公共交通服务的；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（二）多元化公共交通企业从事跨区域公共交通服务的；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（三）具有多元化公共交通经营资格的企业为不符合本条例第二十六条要求的互联网平台提供承运服务的；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（四）未经批准，多元化公共交通企业擅自使用公共汽电车客运场站设施共享目录以外的场站发班经营或停靠的。</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第七十</w:t>
      </w: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条【专线公交客运罚则】</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专线公交企业有下列行为之一的，由城市人民政府交通运输主管部门责令限期改正，并处一万元以上三万元以下罚款： </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（一）未按照核准的固定线路和站点运行的；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（二）未按照本条例第二十五条要求采取直达模式运行的；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（三）未按照本条例第二十五条要求如实报备和公布运营服务变更、暂停或者终止的。</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第七十</w:t>
      </w: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rPr>
        <w:t>条【互联网平台和承运人罚则】</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互联网平台和定制公交承运人</w:t>
      </w:r>
      <w:r>
        <w:rPr>
          <w:rFonts w:hint="eastAsia" w:ascii="仿宋_GB2312" w:hAnsi="仿宋_GB2312" w:eastAsia="仿宋_GB2312" w:cs="仿宋_GB2312"/>
          <w:bCs/>
          <w:color w:val="auto"/>
          <w:sz w:val="32"/>
          <w:szCs w:val="32"/>
        </w:rPr>
        <w:t>有下列行为之一的，由城市人民政府交通运输、价格、通信行政主管部门按照职责责令限期改正，并处五万元以上十万元以下罚款；给信息主体造成损失的，依法承担民事责任；构成犯罪的，依法追究刑事责任：</w:t>
      </w:r>
    </w:p>
    <w:p>
      <w:pPr>
        <w:pageBreakBefore w:val="0"/>
        <w:kinsoku/>
        <w:wordWrap/>
        <w:overflowPunct/>
        <w:topLinePunct w:val="0"/>
        <w:autoSpaceDE/>
        <w:autoSpaceDN/>
        <w:bidi w:val="0"/>
        <w:adjustRightInd/>
        <w:spacing w:line="560" w:lineRule="exact"/>
        <w:ind w:left="0" w:leftChars="0"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（一）以低于成本的价格运营，扰乱正常市场秩序，损害其他经营者合法权益等不正当价格行为；</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bCs/>
          <w:color w:val="auto"/>
          <w:sz w:val="32"/>
          <w:szCs w:val="32"/>
        </w:rPr>
        <w:t>未落实网络和信息安全防范措施，擅自泄露、传播乘客信息的；</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（三）以现场售票、刷卡以及签订包车合同、协议等方式提供服务，或者招揽网络预约以外的团体或乘客乘车；</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（四）为跨区域运营的客运车辆提供定制公交服务；</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（五）线上、线下服务的车辆和驾驶员不一致的；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（六）未提供合法有效的乘车发票的；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（七）对举报、投诉其服务质量或者对其服务作出不满意评价的乘客实施报复行为的。</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第七十</w:t>
      </w:r>
      <w:r>
        <w:rPr>
          <w:rFonts w:hint="eastAsia" w:ascii="黑体" w:hAnsi="黑体" w:eastAsia="黑体" w:cs="黑体"/>
          <w:b/>
          <w:bCs/>
          <w:color w:val="auto"/>
          <w:sz w:val="32"/>
          <w:szCs w:val="32"/>
          <w:lang w:eastAsia="zh-CN"/>
        </w:rPr>
        <w:t>四</w:t>
      </w:r>
      <w:r>
        <w:rPr>
          <w:rFonts w:hint="eastAsia" w:ascii="黑体" w:hAnsi="黑体" w:eastAsia="黑体" w:cs="黑体"/>
          <w:b/>
          <w:bCs/>
          <w:color w:val="auto"/>
          <w:sz w:val="32"/>
          <w:szCs w:val="32"/>
        </w:rPr>
        <w:t>条【互联网平台罚则】</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互联网平台</w:t>
      </w:r>
      <w:r>
        <w:rPr>
          <w:rFonts w:hint="eastAsia" w:ascii="仿宋_GB2312" w:hAnsi="仿宋_GB2312" w:eastAsia="仿宋_GB2312" w:cs="仿宋_GB2312"/>
          <w:bCs/>
          <w:color w:val="auto"/>
          <w:sz w:val="32"/>
          <w:szCs w:val="32"/>
        </w:rPr>
        <w:t>有下列行为之一的，由城市人民政府交通运输主管部门责令限期改正，并处三万元以上十万元以下罚款：</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（一）未按照规定将互联网平台接入城市公共交通监督管理系统的；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（二）互联网平台利用不具有合法运营资质的车辆和从业人员从事定制公交服务的；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（三）不配合相关主管部门依法实施监督检查或调取查阅相关数据信息的。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（四）未按照要求如实报备定制公交线路开行信息的。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违反本条款（一）、（二）项，有违法所得的，没收违法所得。</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第七十</w:t>
      </w:r>
      <w:r>
        <w:rPr>
          <w:rFonts w:hint="eastAsia" w:ascii="黑体" w:hAnsi="黑体" w:eastAsia="黑体" w:cs="黑体"/>
          <w:b/>
          <w:bCs/>
          <w:color w:val="auto"/>
          <w:sz w:val="32"/>
          <w:szCs w:val="32"/>
          <w:lang w:eastAsia="zh-CN"/>
        </w:rPr>
        <w:t>五</w:t>
      </w:r>
      <w:r>
        <w:rPr>
          <w:rFonts w:hint="eastAsia" w:ascii="黑体" w:hAnsi="黑体" w:eastAsia="黑体" w:cs="黑体"/>
          <w:b/>
          <w:bCs/>
          <w:color w:val="auto"/>
          <w:sz w:val="32"/>
          <w:szCs w:val="32"/>
        </w:rPr>
        <w:t>条【定制公交承运人罚则】</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定制公交承运人</w:t>
      </w:r>
      <w:r>
        <w:rPr>
          <w:rFonts w:hint="eastAsia" w:ascii="仿宋_GB2312" w:hAnsi="仿宋_GB2312" w:eastAsia="仿宋_GB2312" w:cs="仿宋_GB2312"/>
          <w:bCs/>
          <w:color w:val="auto"/>
          <w:sz w:val="32"/>
          <w:szCs w:val="32"/>
        </w:rPr>
        <w:t>有下列行为之一的，由城市人民政府交通运输主管部门责令限期改正，并处一万元以上五万元以下罚款：</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（一）所属车辆和人员为不符合本条例第二十六条规定的互联网平台提供承运服务的；</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w:t>
      </w:r>
      <w:r>
        <w:rPr>
          <w:rFonts w:hint="eastAsia" w:ascii="仿宋_GB2312" w:hAnsi="仿宋_GB2312" w:eastAsia="仿宋_GB2312" w:cs="仿宋_GB2312"/>
          <w:bCs/>
          <w:color w:val="auto"/>
          <w:sz w:val="32"/>
          <w:szCs w:val="32"/>
        </w:rPr>
        <w:t>购买承运人责任险的。</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第七十</w:t>
      </w:r>
      <w:r>
        <w:rPr>
          <w:rFonts w:hint="eastAsia" w:ascii="黑体" w:hAnsi="黑体" w:eastAsia="黑体" w:cs="黑体"/>
          <w:b/>
          <w:bCs/>
          <w:color w:val="auto"/>
          <w:sz w:val="32"/>
          <w:szCs w:val="32"/>
          <w:lang w:eastAsia="zh-CN"/>
        </w:rPr>
        <w:t>六</w:t>
      </w:r>
      <w:r>
        <w:rPr>
          <w:rFonts w:hint="eastAsia" w:ascii="黑体" w:hAnsi="黑体" w:eastAsia="黑体" w:cs="黑体"/>
          <w:b/>
          <w:bCs/>
          <w:color w:val="auto"/>
          <w:sz w:val="32"/>
          <w:szCs w:val="32"/>
        </w:rPr>
        <w:t>条【运营服务罚则1】</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公共交通企业有下列行为之一的，由城市人民政府交通运输主管部门责令限期改正，并处一万元以上三万元以下罚款：</w:t>
      </w:r>
    </w:p>
    <w:p>
      <w:pPr>
        <w:pageBreakBefore w:val="0"/>
        <w:numPr>
          <w:ilvl w:val="0"/>
          <w:numId w:val="2"/>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未按照运营协议要求组织运营，擅自终止运营服务或变更许可事项、协议内容的；</w:t>
      </w:r>
    </w:p>
    <w:p>
      <w:pPr>
        <w:pageBreakBefore w:val="0"/>
        <w:widowControl/>
        <w:numPr>
          <w:ilvl w:val="0"/>
          <w:numId w:val="3"/>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未按照本条例第四十</w:t>
      </w:r>
      <w:r>
        <w:rPr>
          <w:rFonts w:hint="eastAsia" w:ascii="仿宋_GB2312" w:hAnsi="仿宋_GB2312" w:eastAsia="仿宋_GB2312" w:cs="仿宋_GB2312"/>
          <w:bCs/>
          <w:color w:val="auto"/>
          <w:sz w:val="32"/>
          <w:szCs w:val="32"/>
          <w:lang w:eastAsia="zh-CN"/>
        </w:rPr>
        <w:t>二</w:t>
      </w:r>
      <w:r>
        <w:rPr>
          <w:rFonts w:hint="eastAsia" w:ascii="仿宋_GB2312" w:hAnsi="仿宋_GB2312" w:eastAsia="仿宋_GB2312" w:cs="仿宋_GB2312"/>
          <w:bCs/>
          <w:color w:val="auto"/>
          <w:sz w:val="32"/>
          <w:szCs w:val="32"/>
        </w:rPr>
        <w:t>条要求配置运营服务设施设备的；</w:t>
      </w:r>
    </w:p>
    <w:p>
      <w:pPr>
        <w:pageBreakBefore w:val="0"/>
        <w:widowControl/>
        <w:numPr>
          <w:ilvl w:val="0"/>
          <w:numId w:val="3"/>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未按照本条例第五十</w:t>
      </w:r>
      <w:r>
        <w:rPr>
          <w:rFonts w:hint="eastAsia" w:ascii="仿宋_GB2312" w:hAnsi="仿宋_GB2312" w:eastAsia="仿宋_GB2312" w:cs="仿宋_GB2312"/>
          <w:bCs/>
          <w:color w:val="auto"/>
          <w:sz w:val="32"/>
          <w:szCs w:val="32"/>
          <w:lang w:eastAsia="zh-CN"/>
        </w:rPr>
        <w:t>三</w:t>
      </w:r>
      <w:r>
        <w:rPr>
          <w:rFonts w:hint="eastAsia" w:ascii="仿宋_GB2312" w:hAnsi="仿宋_GB2312" w:eastAsia="仿宋_GB2312" w:cs="仿宋_GB2312"/>
          <w:bCs/>
          <w:color w:val="auto"/>
          <w:sz w:val="32"/>
          <w:szCs w:val="32"/>
        </w:rPr>
        <w:t>条要求配置安全设施和设备的；</w:t>
      </w:r>
    </w:p>
    <w:p>
      <w:pPr>
        <w:pageBreakBefore w:val="0"/>
        <w:widowControl/>
        <w:numPr>
          <w:ilvl w:val="0"/>
          <w:numId w:val="3"/>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未及时完善和更新线路站牌标志标示和服务信息的。</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第七十</w:t>
      </w:r>
      <w:r>
        <w:rPr>
          <w:rFonts w:hint="eastAsia" w:ascii="黑体" w:hAnsi="黑体" w:eastAsia="黑体" w:cs="黑体"/>
          <w:b/>
          <w:bCs/>
          <w:color w:val="auto"/>
          <w:sz w:val="32"/>
          <w:szCs w:val="32"/>
          <w:lang w:eastAsia="zh-CN"/>
        </w:rPr>
        <w:t>七</w:t>
      </w:r>
      <w:r>
        <w:rPr>
          <w:rFonts w:hint="eastAsia" w:ascii="黑体" w:hAnsi="黑体" w:eastAsia="黑体" w:cs="黑体"/>
          <w:b/>
          <w:bCs/>
          <w:color w:val="auto"/>
          <w:sz w:val="32"/>
          <w:szCs w:val="32"/>
        </w:rPr>
        <w:t>条【运营服务罚则2】</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公共交通企业有下列行为之一的，由城市人民政府交通运输主管部门责令限期改正，并处一千元以上一万元以下罚款：</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（一）未实行明码标价或未向乘客提供合法有效的乘车凭证的；</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（二）未按照规定建立并落实投诉举报制度的；</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（三）未按照规定落实减免票政策的；</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（四）未按照规定报送运营信息、财务报表和年度会计报告等信息。</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第七十</w:t>
      </w:r>
      <w:r>
        <w:rPr>
          <w:rFonts w:hint="eastAsia" w:ascii="黑体" w:hAnsi="黑体" w:eastAsia="黑体" w:cs="黑体"/>
          <w:b/>
          <w:bCs/>
          <w:color w:val="auto"/>
          <w:sz w:val="32"/>
          <w:szCs w:val="32"/>
          <w:lang w:eastAsia="zh-CN"/>
        </w:rPr>
        <w:t>八</w:t>
      </w:r>
      <w:r>
        <w:rPr>
          <w:rFonts w:hint="eastAsia" w:ascii="黑体" w:hAnsi="黑体" w:eastAsia="黑体" w:cs="黑体"/>
          <w:b/>
          <w:bCs/>
          <w:color w:val="auto"/>
          <w:sz w:val="32"/>
          <w:szCs w:val="32"/>
        </w:rPr>
        <w:t>条【从业人员行为罚则】</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公共交通企业所属从业人员提供运营服务过程中，有下列行为之一的，由城市人民政府交通运输主管部门对相关企业给予警告，并处一千元以上五千元以下罚款：</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（一）不按照规定线路行驶和进站、出站，争道、抢道的；</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（二）无故拒载乘客、中途逐客、滞站揽客、到站不停的；</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（三）出现吸烟、闲谈、打电话等行为；</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（四）与乘客发生冲突影响行驶安全的；</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（五）影响车辆正常行驶、乘客安全和乘车秩序的其他行为。</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违反本条款第（三）、（四）、（五）项且造成不良后果的，对负有责任的驾驶员或其他从业人员，取消其从业资格，构成犯罪的，依法追究刑事责任。</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w:t>
      </w:r>
      <w:r>
        <w:rPr>
          <w:rFonts w:hint="eastAsia" w:ascii="黑体" w:hAnsi="黑体" w:eastAsia="黑体" w:cs="黑体"/>
          <w:b/>
          <w:bCs/>
          <w:color w:val="auto"/>
          <w:sz w:val="32"/>
          <w:szCs w:val="32"/>
          <w:lang w:eastAsia="zh-CN"/>
        </w:rPr>
        <w:t>七十九</w:t>
      </w:r>
      <w:r>
        <w:rPr>
          <w:rFonts w:hint="eastAsia" w:ascii="黑体" w:hAnsi="黑体" w:eastAsia="黑体" w:cs="黑体"/>
          <w:b/>
          <w:bCs/>
          <w:color w:val="auto"/>
          <w:sz w:val="32"/>
          <w:szCs w:val="32"/>
        </w:rPr>
        <w:t>条【运营安全罚则】</w:t>
      </w:r>
    </w:p>
    <w:p>
      <w:pPr>
        <w:pageBreakBefore w:val="0"/>
        <w:kinsoku/>
        <w:wordWrap/>
        <w:overflowPunct/>
        <w:topLinePunct w:val="0"/>
        <w:autoSpaceDE/>
        <w:autoSpaceDN/>
        <w:bidi w:val="0"/>
        <w:adjustRightInd/>
        <w:spacing w:before="156" w:beforeLines="50" w:after="156" w:afterLines="50"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公共交通企业有下列行为之一的，由城市人民政府交通运输主管部门责令限期改正，并处一万元以上三万元以下罚款；构成犯罪的，依法追究刑事责任：</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（一）未按照国家有关要求，落实安全检查职责并造成不良后果的；</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（二）未制定应急预案并组织演练的；</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（三）发生影响城市公共交通运营安全的突发事件时，未按照应急预案的规定采取应急处置措施的；</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（四）使用不符合国家有关要求的城市公共汽电车从事城市公共汽电车运营的；</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（五）未按照要求配置运营安全设施设备并确保正常使用的。</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第八十条【乘客行为罚则】</w:t>
      </w:r>
    </w:p>
    <w:p>
      <w:pPr>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对违反本条例第五十条规定，在城市公共交通车辆行驶过程中，辱骂、挑衅、殴打、拉拽驾驶员，或者抢夺方向盘、变速杆等操纵装置及其他妨害安全驾驶行为的，根据国家有关规定</w:t>
      </w:r>
      <w:r>
        <w:rPr>
          <w:rFonts w:hint="eastAsia" w:ascii="仿宋_GB2312" w:hAnsi="仿宋_GB2312" w:eastAsia="仿宋_GB2312" w:cs="仿宋_GB2312"/>
          <w:color w:val="auto"/>
          <w:sz w:val="32"/>
          <w:szCs w:val="32"/>
          <w:lang w:eastAsia="zh-CN"/>
        </w:rPr>
        <w:t>，</w:t>
      </w:r>
      <w:bookmarkStart w:id="7" w:name="_GoBack"/>
      <w:bookmarkEnd w:id="7"/>
      <w:r>
        <w:rPr>
          <w:rFonts w:hint="eastAsia" w:ascii="仿宋_GB2312" w:hAnsi="仿宋_GB2312" w:eastAsia="仿宋_GB2312" w:cs="仿宋_GB2312"/>
          <w:color w:val="auto"/>
          <w:sz w:val="32"/>
          <w:szCs w:val="32"/>
        </w:rPr>
        <w:t>定罪处罚。</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第八十</w:t>
      </w:r>
      <w:r>
        <w:rPr>
          <w:rFonts w:hint="eastAsia" w:ascii="黑体" w:hAnsi="黑体" w:eastAsia="黑体" w:cs="黑体"/>
          <w:b/>
          <w:bCs/>
          <w:color w:val="auto"/>
          <w:sz w:val="32"/>
          <w:szCs w:val="32"/>
          <w:lang w:eastAsia="zh-CN"/>
        </w:rPr>
        <w:t>一</w:t>
      </w:r>
      <w:r>
        <w:rPr>
          <w:rFonts w:hint="eastAsia" w:ascii="黑体" w:hAnsi="黑体" w:eastAsia="黑体" w:cs="黑体"/>
          <w:b/>
          <w:bCs/>
          <w:color w:val="auto"/>
          <w:sz w:val="32"/>
          <w:szCs w:val="32"/>
        </w:rPr>
        <w:t>条【同类事项罚则】</w:t>
      </w:r>
    </w:p>
    <w:p>
      <w:pPr>
        <w:pageBreakBefore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违反本条例规定，有关法律、法规已有法律责任规定的，从其规定。</w:t>
      </w:r>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第八十</w:t>
      </w: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条【依法行政罚则】</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城市人民政府相关部门工作人员违反本条例规定,滥用职权、玩忽职守、徇私舞弊、索贿受贿，尚不构成犯罪的,依法给予行政处分；构成犯罪的，依法追究刑事责任。</w:t>
      </w:r>
    </w:p>
    <w:p>
      <w:pPr>
        <w:pStyle w:val="2"/>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仿宋_GB2312" w:eastAsia="仿宋_GB2312" w:cs="仿宋_GB2312"/>
          <w:color w:val="auto"/>
        </w:rPr>
      </w:pPr>
      <w:bookmarkStart w:id="6" w:name="_Toc525727077"/>
      <w:r>
        <w:rPr>
          <w:rFonts w:hint="eastAsia" w:ascii="仿宋_GB2312" w:hAnsi="仿宋_GB2312" w:eastAsia="仿宋_GB2312" w:cs="仿宋_GB2312"/>
          <w:color w:val="auto"/>
          <w:sz w:val="36"/>
          <w:szCs w:val="36"/>
        </w:rPr>
        <w:t>第十章  附则</w:t>
      </w:r>
      <w:bookmarkEnd w:id="6"/>
    </w:p>
    <w:p>
      <w:pPr>
        <w:pageBreakBefore w:val="0"/>
        <w:kinsoku/>
        <w:wordWrap/>
        <w:overflowPunct/>
        <w:topLinePunct w:val="0"/>
        <w:autoSpaceDE/>
        <w:autoSpaceDN/>
        <w:bidi w:val="0"/>
        <w:adjustRightInd/>
        <w:spacing w:before="156" w:beforeLines="50" w:after="156" w:afterLines="50" w:line="560" w:lineRule="exact"/>
        <w:ind w:left="0" w:lef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第八十</w:t>
      </w: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rPr>
        <w:t>条【生效期】</w:t>
      </w:r>
    </w:p>
    <w:p>
      <w:pPr>
        <w:pageBreakBefore w:val="0"/>
        <w:widowControl/>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本条例自</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日施行。</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dobe 宋体 Std L">
    <w:panose1 w:val="02020300000000000000"/>
    <w:charset w:val="86"/>
    <w:family w:val="roman"/>
    <w:pitch w:val="default"/>
    <w:sig w:usb0="00000001" w:usb1="0A0F1810" w:usb2="00000016" w:usb3="00000000" w:csb0="00060007" w:csb1="00000000"/>
  </w:font>
  <w:font w:name="Arial">
    <w:panose1 w:val="020B0604020202020204"/>
    <w:charset w:val="00"/>
    <w:family w:val="swiss"/>
    <w:pitch w:val="default"/>
    <w:sig w:usb0="E0002AFF" w:usb1="C0007843" w:usb2="00000009" w:usb3="00000000" w:csb0="400001FF" w:csb1="FFFF0000"/>
  </w:font>
  <w:font w:name="仿宋m..">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larkplayericon">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中國龍新草體">
    <w:panose1 w:val="0201060900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rPr>
        <w:lang w:val="zh-CN"/>
      </w:rPr>
      <w:fldChar w:fldCharType="end"/>
    </w:r>
  </w:p>
  <w:p>
    <w:pPr>
      <w:pStyle w:val="8"/>
      <w:ind w:firstLine="360" w:firstLineChars="2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39931"/>
    <w:multiLevelType w:val="singleLevel"/>
    <w:tmpl w:val="5A239931"/>
    <w:lvl w:ilvl="0" w:tentative="0">
      <w:start w:val="1"/>
      <w:numFmt w:val="chineseCounting"/>
      <w:suff w:val="nothing"/>
      <w:lvlText w:val="（%1）"/>
      <w:lvlJc w:val="left"/>
    </w:lvl>
  </w:abstractNum>
  <w:abstractNum w:abstractNumId="1">
    <w:nsid w:val="5D1B1F7E"/>
    <w:multiLevelType w:val="singleLevel"/>
    <w:tmpl w:val="5D1B1F7E"/>
    <w:lvl w:ilvl="0" w:tentative="0">
      <w:start w:val="1"/>
      <w:numFmt w:val="chineseCounting"/>
      <w:suff w:val="nothing"/>
      <w:lvlText w:val="（%1）"/>
      <w:lvlJc w:val="left"/>
    </w:lvl>
  </w:abstractNum>
  <w:abstractNum w:abstractNumId="2">
    <w:nsid w:val="5D1B2085"/>
    <w:multiLevelType w:val="singleLevel"/>
    <w:tmpl w:val="5D1B2085"/>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CD"/>
    <w:rsid w:val="000004AF"/>
    <w:rsid w:val="000005D9"/>
    <w:rsid w:val="00000811"/>
    <w:rsid w:val="00000A10"/>
    <w:rsid w:val="00000F17"/>
    <w:rsid w:val="00000FC1"/>
    <w:rsid w:val="00001103"/>
    <w:rsid w:val="0000158C"/>
    <w:rsid w:val="00001838"/>
    <w:rsid w:val="00001C60"/>
    <w:rsid w:val="0000260D"/>
    <w:rsid w:val="000030B6"/>
    <w:rsid w:val="000031B3"/>
    <w:rsid w:val="0000395C"/>
    <w:rsid w:val="0000480D"/>
    <w:rsid w:val="0000538E"/>
    <w:rsid w:val="0000541B"/>
    <w:rsid w:val="000055A3"/>
    <w:rsid w:val="000068C1"/>
    <w:rsid w:val="00007A71"/>
    <w:rsid w:val="0001018C"/>
    <w:rsid w:val="00010570"/>
    <w:rsid w:val="00010846"/>
    <w:rsid w:val="00011D33"/>
    <w:rsid w:val="0001259A"/>
    <w:rsid w:val="00012878"/>
    <w:rsid w:val="00012D27"/>
    <w:rsid w:val="0001314B"/>
    <w:rsid w:val="000137D6"/>
    <w:rsid w:val="000142CB"/>
    <w:rsid w:val="000148FD"/>
    <w:rsid w:val="00015836"/>
    <w:rsid w:val="0001750C"/>
    <w:rsid w:val="0001777D"/>
    <w:rsid w:val="000178F7"/>
    <w:rsid w:val="00020DC4"/>
    <w:rsid w:val="000220FF"/>
    <w:rsid w:val="000230F7"/>
    <w:rsid w:val="000234BA"/>
    <w:rsid w:val="000235F4"/>
    <w:rsid w:val="000236E4"/>
    <w:rsid w:val="0002373E"/>
    <w:rsid w:val="00023993"/>
    <w:rsid w:val="00024DA0"/>
    <w:rsid w:val="0002538F"/>
    <w:rsid w:val="000254B6"/>
    <w:rsid w:val="000254FB"/>
    <w:rsid w:val="00026562"/>
    <w:rsid w:val="0002682C"/>
    <w:rsid w:val="00026845"/>
    <w:rsid w:val="00026AD9"/>
    <w:rsid w:val="000276B0"/>
    <w:rsid w:val="00027D07"/>
    <w:rsid w:val="00027FA7"/>
    <w:rsid w:val="00030BB3"/>
    <w:rsid w:val="000316BB"/>
    <w:rsid w:val="00031BFD"/>
    <w:rsid w:val="00032055"/>
    <w:rsid w:val="00032417"/>
    <w:rsid w:val="000324B9"/>
    <w:rsid w:val="00032C29"/>
    <w:rsid w:val="0003355A"/>
    <w:rsid w:val="0003356B"/>
    <w:rsid w:val="00033BC4"/>
    <w:rsid w:val="00034D09"/>
    <w:rsid w:val="00035642"/>
    <w:rsid w:val="00035960"/>
    <w:rsid w:val="00036AD6"/>
    <w:rsid w:val="00036AEF"/>
    <w:rsid w:val="000374F6"/>
    <w:rsid w:val="00037DF5"/>
    <w:rsid w:val="00040C14"/>
    <w:rsid w:val="00040C97"/>
    <w:rsid w:val="0004131D"/>
    <w:rsid w:val="00041724"/>
    <w:rsid w:val="00041E0C"/>
    <w:rsid w:val="00041EB1"/>
    <w:rsid w:val="0004230B"/>
    <w:rsid w:val="00042907"/>
    <w:rsid w:val="00042A8D"/>
    <w:rsid w:val="00042B05"/>
    <w:rsid w:val="00043173"/>
    <w:rsid w:val="0004319A"/>
    <w:rsid w:val="000435C7"/>
    <w:rsid w:val="0004378F"/>
    <w:rsid w:val="00043C83"/>
    <w:rsid w:val="00044011"/>
    <w:rsid w:val="00044229"/>
    <w:rsid w:val="000446B6"/>
    <w:rsid w:val="00044832"/>
    <w:rsid w:val="00044CFB"/>
    <w:rsid w:val="000450F4"/>
    <w:rsid w:val="000454A3"/>
    <w:rsid w:val="000455A4"/>
    <w:rsid w:val="000458B4"/>
    <w:rsid w:val="000471A7"/>
    <w:rsid w:val="000472E1"/>
    <w:rsid w:val="0005033F"/>
    <w:rsid w:val="0005037B"/>
    <w:rsid w:val="00050889"/>
    <w:rsid w:val="00051055"/>
    <w:rsid w:val="00051A4F"/>
    <w:rsid w:val="00052512"/>
    <w:rsid w:val="000532D2"/>
    <w:rsid w:val="000549DA"/>
    <w:rsid w:val="00055773"/>
    <w:rsid w:val="000561AB"/>
    <w:rsid w:val="0005682B"/>
    <w:rsid w:val="000575FF"/>
    <w:rsid w:val="00057722"/>
    <w:rsid w:val="000604D5"/>
    <w:rsid w:val="000604E6"/>
    <w:rsid w:val="0006139B"/>
    <w:rsid w:val="0006156C"/>
    <w:rsid w:val="0006213A"/>
    <w:rsid w:val="00062826"/>
    <w:rsid w:val="0006302E"/>
    <w:rsid w:val="000630E3"/>
    <w:rsid w:val="000646AD"/>
    <w:rsid w:val="00065C1A"/>
    <w:rsid w:val="0006706C"/>
    <w:rsid w:val="00067543"/>
    <w:rsid w:val="000676A9"/>
    <w:rsid w:val="00070437"/>
    <w:rsid w:val="00070669"/>
    <w:rsid w:val="00071429"/>
    <w:rsid w:val="000714AF"/>
    <w:rsid w:val="00072FA5"/>
    <w:rsid w:val="00073759"/>
    <w:rsid w:val="00074136"/>
    <w:rsid w:val="000742CD"/>
    <w:rsid w:val="00074602"/>
    <w:rsid w:val="000752CE"/>
    <w:rsid w:val="00075924"/>
    <w:rsid w:val="00075ADB"/>
    <w:rsid w:val="00075CC6"/>
    <w:rsid w:val="00075F8C"/>
    <w:rsid w:val="00077303"/>
    <w:rsid w:val="000775ED"/>
    <w:rsid w:val="00077618"/>
    <w:rsid w:val="0007788F"/>
    <w:rsid w:val="00080D57"/>
    <w:rsid w:val="00080F21"/>
    <w:rsid w:val="00080F66"/>
    <w:rsid w:val="00081372"/>
    <w:rsid w:val="00081AF8"/>
    <w:rsid w:val="00081FB9"/>
    <w:rsid w:val="000826D9"/>
    <w:rsid w:val="00082832"/>
    <w:rsid w:val="00082E81"/>
    <w:rsid w:val="00083358"/>
    <w:rsid w:val="00083597"/>
    <w:rsid w:val="00083995"/>
    <w:rsid w:val="000839B7"/>
    <w:rsid w:val="00083A41"/>
    <w:rsid w:val="00083BA1"/>
    <w:rsid w:val="0008413D"/>
    <w:rsid w:val="00084BB6"/>
    <w:rsid w:val="00084E6E"/>
    <w:rsid w:val="000864CA"/>
    <w:rsid w:val="00086C5C"/>
    <w:rsid w:val="00086DB9"/>
    <w:rsid w:val="00087E47"/>
    <w:rsid w:val="0009021C"/>
    <w:rsid w:val="000904A0"/>
    <w:rsid w:val="000905C5"/>
    <w:rsid w:val="0009062D"/>
    <w:rsid w:val="000906DF"/>
    <w:rsid w:val="00090D52"/>
    <w:rsid w:val="000911ED"/>
    <w:rsid w:val="00091649"/>
    <w:rsid w:val="00092470"/>
    <w:rsid w:val="0009281C"/>
    <w:rsid w:val="00092B00"/>
    <w:rsid w:val="00092F57"/>
    <w:rsid w:val="00093176"/>
    <w:rsid w:val="000931D5"/>
    <w:rsid w:val="00093877"/>
    <w:rsid w:val="00094097"/>
    <w:rsid w:val="000951FF"/>
    <w:rsid w:val="0009545D"/>
    <w:rsid w:val="00095950"/>
    <w:rsid w:val="00096A0F"/>
    <w:rsid w:val="00096DD0"/>
    <w:rsid w:val="0009758F"/>
    <w:rsid w:val="00097685"/>
    <w:rsid w:val="00097EF5"/>
    <w:rsid w:val="000A0142"/>
    <w:rsid w:val="000A028F"/>
    <w:rsid w:val="000A0F5B"/>
    <w:rsid w:val="000A1FE3"/>
    <w:rsid w:val="000A2086"/>
    <w:rsid w:val="000A2849"/>
    <w:rsid w:val="000A3871"/>
    <w:rsid w:val="000A3D5E"/>
    <w:rsid w:val="000A447B"/>
    <w:rsid w:val="000A49CF"/>
    <w:rsid w:val="000A5EE8"/>
    <w:rsid w:val="000A64B2"/>
    <w:rsid w:val="000A673B"/>
    <w:rsid w:val="000A6BFE"/>
    <w:rsid w:val="000A6F4E"/>
    <w:rsid w:val="000B09C7"/>
    <w:rsid w:val="000B24E8"/>
    <w:rsid w:val="000B24EC"/>
    <w:rsid w:val="000B3121"/>
    <w:rsid w:val="000B3209"/>
    <w:rsid w:val="000B33B2"/>
    <w:rsid w:val="000B3B02"/>
    <w:rsid w:val="000B3B1E"/>
    <w:rsid w:val="000B3F24"/>
    <w:rsid w:val="000B460A"/>
    <w:rsid w:val="000B4C6E"/>
    <w:rsid w:val="000B5432"/>
    <w:rsid w:val="000B59E4"/>
    <w:rsid w:val="000B59FA"/>
    <w:rsid w:val="000B68D5"/>
    <w:rsid w:val="000B6A72"/>
    <w:rsid w:val="000B6D01"/>
    <w:rsid w:val="000B75BD"/>
    <w:rsid w:val="000B7C70"/>
    <w:rsid w:val="000C055D"/>
    <w:rsid w:val="000C061D"/>
    <w:rsid w:val="000C122F"/>
    <w:rsid w:val="000C18E6"/>
    <w:rsid w:val="000C25D0"/>
    <w:rsid w:val="000C3A7F"/>
    <w:rsid w:val="000C455C"/>
    <w:rsid w:val="000C49CA"/>
    <w:rsid w:val="000C4B70"/>
    <w:rsid w:val="000C5089"/>
    <w:rsid w:val="000C5695"/>
    <w:rsid w:val="000C56CA"/>
    <w:rsid w:val="000C632A"/>
    <w:rsid w:val="000C6B94"/>
    <w:rsid w:val="000C7203"/>
    <w:rsid w:val="000C7384"/>
    <w:rsid w:val="000C7714"/>
    <w:rsid w:val="000C7B3B"/>
    <w:rsid w:val="000C7D04"/>
    <w:rsid w:val="000D093B"/>
    <w:rsid w:val="000D099D"/>
    <w:rsid w:val="000D19D1"/>
    <w:rsid w:val="000D1FE1"/>
    <w:rsid w:val="000D2815"/>
    <w:rsid w:val="000D2F6D"/>
    <w:rsid w:val="000D3385"/>
    <w:rsid w:val="000D3AC0"/>
    <w:rsid w:val="000D3C22"/>
    <w:rsid w:val="000D450A"/>
    <w:rsid w:val="000D4B3B"/>
    <w:rsid w:val="000D4DC9"/>
    <w:rsid w:val="000D59BF"/>
    <w:rsid w:val="000D6388"/>
    <w:rsid w:val="000D6506"/>
    <w:rsid w:val="000D6697"/>
    <w:rsid w:val="000D683F"/>
    <w:rsid w:val="000D7077"/>
    <w:rsid w:val="000D7287"/>
    <w:rsid w:val="000D736A"/>
    <w:rsid w:val="000D795B"/>
    <w:rsid w:val="000E03D3"/>
    <w:rsid w:val="000E0745"/>
    <w:rsid w:val="000E142E"/>
    <w:rsid w:val="000E1D1C"/>
    <w:rsid w:val="000E20A4"/>
    <w:rsid w:val="000E2752"/>
    <w:rsid w:val="000E2B45"/>
    <w:rsid w:val="000E38CF"/>
    <w:rsid w:val="000E3AF3"/>
    <w:rsid w:val="000E42D2"/>
    <w:rsid w:val="000E4CDA"/>
    <w:rsid w:val="000E4DF7"/>
    <w:rsid w:val="000E5060"/>
    <w:rsid w:val="000E5F09"/>
    <w:rsid w:val="000F0782"/>
    <w:rsid w:val="000F079B"/>
    <w:rsid w:val="000F0935"/>
    <w:rsid w:val="000F0B98"/>
    <w:rsid w:val="000F12FB"/>
    <w:rsid w:val="000F2271"/>
    <w:rsid w:val="000F3E51"/>
    <w:rsid w:val="000F470E"/>
    <w:rsid w:val="000F49A0"/>
    <w:rsid w:val="000F5A5C"/>
    <w:rsid w:val="000F6E3D"/>
    <w:rsid w:val="000F7A2B"/>
    <w:rsid w:val="000F7B8E"/>
    <w:rsid w:val="00100A1B"/>
    <w:rsid w:val="00100BF5"/>
    <w:rsid w:val="00100DBB"/>
    <w:rsid w:val="001019F0"/>
    <w:rsid w:val="00101BB1"/>
    <w:rsid w:val="00101E57"/>
    <w:rsid w:val="00102463"/>
    <w:rsid w:val="0010266B"/>
    <w:rsid w:val="00103584"/>
    <w:rsid w:val="00105536"/>
    <w:rsid w:val="0010625B"/>
    <w:rsid w:val="00106D6F"/>
    <w:rsid w:val="00107A44"/>
    <w:rsid w:val="00107BB7"/>
    <w:rsid w:val="00110A99"/>
    <w:rsid w:val="00112313"/>
    <w:rsid w:val="00112719"/>
    <w:rsid w:val="0011368D"/>
    <w:rsid w:val="001138BB"/>
    <w:rsid w:val="00113DB2"/>
    <w:rsid w:val="00114EBA"/>
    <w:rsid w:val="0011597B"/>
    <w:rsid w:val="00116772"/>
    <w:rsid w:val="00117ED0"/>
    <w:rsid w:val="00120A8B"/>
    <w:rsid w:val="00121CBB"/>
    <w:rsid w:val="001220F4"/>
    <w:rsid w:val="0012216B"/>
    <w:rsid w:val="00122393"/>
    <w:rsid w:val="00123299"/>
    <w:rsid w:val="0012361B"/>
    <w:rsid w:val="00123E99"/>
    <w:rsid w:val="00123EB8"/>
    <w:rsid w:val="00124258"/>
    <w:rsid w:val="0012503A"/>
    <w:rsid w:val="0012528F"/>
    <w:rsid w:val="001257AF"/>
    <w:rsid w:val="00125B36"/>
    <w:rsid w:val="00125C39"/>
    <w:rsid w:val="00125EDA"/>
    <w:rsid w:val="00125F84"/>
    <w:rsid w:val="00126790"/>
    <w:rsid w:val="00130397"/>
    <w:rsid w:val="00130E53"/>
    <w:rsid w:val="0013145F"/>
    <w:rsid w:val="001316DE"/>
    <w:rsid w:val="00131FCC"/>
    <w:rsid w:val="00132711"/>
    <w:rsid w:val="00133733"/>
    <w:rsid w:val="00135380"/>
    <w:rsid w:val="00140521"/>
    <w:rsid w:val="00140721"/>
    <w:rsid w:val="0014136D"/>
    <w:rsid w:val="001417E0"/>
    <w:rsid w:val="00141A04"/>
    <w:rsid w:val="00141C30"/>
    <w:rsid w:val="00141FAE"/>
    <w:rsid w:val="00142157"/>
    <w:rsid w:val="001435F8"/>
    <w:rsid w:val="001438D6"/>
    <w:rsid w:val="00143E92"/>
    <w:rsid w:val="00144024"/>
    <w:rsid w:val="001444E5"/>
    <w:rsid w:val="00144520"/>
    <w:rsid w:val="00144FA0"/>
    <w:rsid w:val="001451BB"/>
    <w:rsid w:val="00145792"/>
    <w:rsid w:val="00146D35"/>
    <w:rsid w:val="001471AD"/>
    <w:rsid w:val="001475CD"/>
    <w:rsid w:val="00147634"/>
    <w:rsid w:val="00147DE9"/>
    <w:rsid w:val="00150116"/>
    <w:rsid w:val="00150667"/>
    <w:rsid w:val="001510DB"/>
    <w:rsid w:val="00151FC1"/>
    <w:rsid w:val="001520E1"/>
    <w:rsid w:val="00152541"/>
    <w:rsid w:val="001537CF"/>
    <w:rsid w:val="00154280"/>
    <w:rsid w:val="00154937"/>
    <w:rsid w:val="0015561B"/>
    <w:rsid w:val="0015571A"/>
    <w:rsid w:val="00155891"/>
    <w:rsid w:val="00155A9D"/>
    <w:rsid w:val="0015694C"/>
    <w:rsid w:val="0015702E"/>
    <w:rsid w:val="00157773"/>
    <w:rsid w:val="00157AA1"/>
    <w:rsid w:val="00157F20"/>
    <w:rsid w:val="00160163"/>
    <w:rsid w:val="00160E89"/>
    <w:rsid w:val="00162F4B"/>
    <w:rsid w:val="001633A8"/>
    <w:rsid w:val="00163BBB"/>
    <w:rsid w:val="00164296"/>
    <w:rsid w:val="00164339"/>
    <w:rsid w:val="00164344"/>
    <w:rsid w:val="0016525D"/>
    <w:rsid w:val="001656D3"/>
    <w:rsid w:val="00165BE1"/>
    <w:rsid w:val="001661DF"/>
    <w:rsid w:val="00167BD3"/>
    <w:rsid w:val="00167C58"/>
    <w:rsid w:val="00167CC8"/>
    <w:rsid w:val="00167EBE"/>
    <w:rsid w:val="001706C6"/>
    <w:rsid w:val="001716F3"/>
    <w:rsid w:val="001717A0"/>
    <w:rsid w:val="00171BC8"/>
    <w:rsid w:val="00172707"/>
    <w:rsid w:val="001727C4"/>
    <w:rsid w:val="001728BF"/>
    <w:rsid w:val="00173267"/>
    <w:rsid w:val="0017332C"/>
    <w:rsid w:val="001752B7"/>
    <w:rsid w:val="001757DF"/>
    <w:rsid w:val="00175C53"/>
    <w:rsid w:val="00177BEA"/>
    <w:rsid w:val="001801EC"/>
    <w:rsid w:val="001806CB"/>
    <w:rsid w:val="00181D79"/>
    <w:rsid w:val="001824A1"/>
    <w:rsid w:val="001850BF"/>
    <w:rsid w:val="001864A5"/>
    <w:rsid w:val="00186690"/>
    <w:rsid w:val="001874FC"/>
    <w:rsid w:val="00190195"/>
    <w:rsid w:val="0019083F"/>
    <w:rsid w:val="00190F9D"/>
    <w:rsid w:val="00192878"/>
    <w:rsid w:val="00192BB9"/>
    <w:rsid w:val="00193467"/>
    <w:rsid w:val="00193BD4"/>
    <w:rsid w:val="001946C7"/>
    <w:rsid w:val="001947EB"/>
    <w:rsid w:val="0019575B"/>
    <w:rsid w:val="00195ACD"/>
    <w:rsid w:val="00195B52"/>
    <w:rsid w:val="0019709C"/>
    <w:rsid w:val="001A0243"/>
    <w:rsid w:val="001A040F"/>
    <w:rsid w:val="001A128B"/>
    <w:rsid w:val="001A14C6"/>
    <w:rsid w:val="001A1A14"/>
    <w:rsid w:val="001A1AF2"/>
    <w:rsid w:val="001A1C24"/>
    <w:rsid w:val="001A2929"/>
    <w:rsid w:val="001A2FD9"/>
    <w:rsid w:val="001A4F16"/>
    <w:rsid w:val="001A514D"/>
    <w:rsid w:val="001A638C"/>
    <w:rsid w:val="001A7523"/>
    <w:rsid w:val="001A7B54"/>
    <w:rsid w:val="001B03AF"/>
    <w:rsid w:val="001B0D93"/>
    <w:rsid w:val="001B1A12"/>
    <w:rsid w:val="001B1F06"/>
    <w:rsid w:val="001B29DF"/>
    <w:rsid w:val="001B3855"/>
    <w:rsid w:val="001B3ED5"/>
    <w:rsid w:val="001B3F6F"/>
    <w:rsid w:val="001B41FB"/>
    <w:rsid w:val="001B4230"/>
    <w:rsid w:val="001B5379"/>
    <w:rsid w:val="001B53E1"/>
    <w:rsid w:val="001B5AE4"/>
    <w:rsid w:val="001B5C4B"/>
    <w:rsid w:val="001B6E4D"/>
    <w:rsid w:val="001B712F"/>
    <w:rsid w:val="001B79B5"/>
    <w:rsid w:val="001C0350"/>
    <w:rsid w:val="001C3534"/>
    <w:rsid w:val="001C43B9"/>
    <w:rsid w:val="001C47BE"/>
    <w:rsid w:val="001C4847"/>
    <w:rsid w:val="001C4D78"/>
    <w:rsid w:val="001C65E9"/>
    <w:rsid w:val="001C682A"/>
    <w:rsid w:val="001C6C64"/>
    <w:rsid w:val="001C6E69"/>
    <w:rsid w:val="001C732C"/>
    <w:rsid w:val="001D0185"/>
    <w:rsid w:val="001D0196"/>
    <w:rsid w:val="001D084D"/>
    <w:rsid w:val="001D0C96"/>
    <w:rsid w:val="001D0ED4"/>
    <w:rsid w:val="001D12A5"/>
    <w:rsid w:val="001D13DE"/>
    <w:rsid w:val="001D2071"/>
    <w:rsid w:val="001D3B57"/>
    <w:rsid w:val="001D3FFA"/>
    <w:rsid w:val="001D4895"/>
    <w:rsid w:val="001D489A"/>
    <w:rsid w:val="001D4C2D"/>
    <w:rsid w:val="001D4E08"/>
    <w:rsid w:val="001D5393"/>
    <w:rsid w:val="001D5B60"/>
    <w:rsid w:val="001D5ECB"/>
    <w:rsid w:val="001D60D3"/>
    <w:rsid w:val="001D76C1"/>
    <w:rsid w:val="001D7ABE"/>
    <w:rsid w:val="001E004A"/>
    <w:rsid w:val="001E04B2"/>
    <w:rsid w:val="001E1788"/>
    <w:rsid w:val="001E1921"/>
    <w:rsid w:val="001E2476"/>
    <w:rsid w:val="001E2635"/>
    <w:rsid w:val="001E2FB0"/>
    <w:rsid w:val="001E36A8"/>
    <w:rsid w:val="001E39D1"/>
    <w:rsid w:val="001E3A51"/>
    <w:rsid w:val="001E447D"/>
    <w:rsid w:val="001E4D6A"/>
    <w:rsid w:val="001E5124"/>
    <w:rsid w:val="001E56B5"/>
    <w:rsid w:val="001E57DA"/>
    <w:rsid w:val="001E5F26"/>
    <w:rsid w:val="001E6366"/>
    <w:rsid w:val="001E790A"/>
    <w:rsid w:val="001E7A38"/>
    <w:rsid w:val="001E7C45"/>
    <w:rsid w:val="001E7D81"/>
    <w:rsid w:val="001F12F2"/>
    <w:rsid w:val="001F1320"/>
    <w:rsid w:val="001F3467"/>
    <w:rsid w:val="001F352F"/>
    <w:rsid w:val="001F4D8E"/>
    <w:rsid w:val="001F4F37"/>
    <w:rsid w:val="001F6203"/>
    <w:rsid w:val="001F6553"/>
    <w:rsid w:val="001F6F1A"/>
    <w:rsid w:val="001F78D3"/>
    <w:rsid w:val="001F7B50"/>
    <w:rsid w:val="001F7ED3"/>
    <w:rsid w:val="0020031C"/>
    <w:rsid w:val="002006C2"/>
    <w:rsid w:val="00200850"/>
    <w:rsid w:val="00200C4B"/>
    <w:rsid w:val="00201591"/>
    <w:rsid w:val="00201614"/>
    <w:rsid w:val="00201C2D"/>
    <w:rsid w:val="00202287"/>
    <w:rsid w:val="002024BC"/>
    <w:rsid w:val="002027A5"/>
    <w:rsid w:val="00203811"/>
    <w:rsid w:val="00203F20"/>
    <w:rsid w:val="00204429"/>
    <w:rsid w:val="00204477"/>
    <w:rsid w:val="002054FA"/>
    <w:rsid w:val="00205A1F"/>
    <w:rsid w:val="00206375"/>
    <w:rsid w:val="002066D1"/>
    <w:rsid w:val="00206ED5"/>
    <w:rsid w:val="00207B77"/>
    <w:rsid w:val="00207C4D"/>
    <w:rsid w:val="00210929"/>
    <w:rsid w:val="00210A54"/>
    <w:rsid w:val="00210B44"/>
    <w:rsid w:val="00210BC4"/>
    <w:rsid w:val="00211080"/>
    <w:rsid w:val="0021159C"/>
    <w:rsid w:val="00211867"/>
    <w:rsid w:val="00212334"/>
    <w:rsid w:val="00212601"/>
    <w:rsid w:val="00212A83"/>
    <w:rsid w:val="002131FA"/>
    <w:rsid w:val="00214108"/>
    <w:rsid w:val="00214305"/>
    <w:rsid w:val="00214B6C"/>
    <w:rsid w:val="00215099"/>
    <w:rsid w:val="00216300"/>
    <w:rsid w:val="00216A93"/>
    <w:rsid w:val="002170D7"/>
    <w:rsid w:val="002172D4"/>
    <w:rsid w:val="00217537"/>
    <w:rsid w:val="00217597"/>
    <w:rsid w:val="0021762C"/>
    <w:rsid w:val="002177E4"/>
    <w:rsid w:val="00217B8E"/>
    <w:rsid w:val="00217CB8"/>
    <w:rsid w:val="00220107"/>
    <w:rsid w:val="002205A8"/>
    <w:rsid w:val="002205CB"/>
    <w:rsid w:val="002207AA"/>
    <w:rsid w:val="00220B32"/>
    <w:rsid w:val="00220ED6"/>
    <w:rsid w:val="002215F3"/>
    <w:rsid w:val="0022267B"/>
    <w:rsid w:val="00223386"/>
    <w:rsid w:val="002236A8"/>
    <w:rsid w:val="00223944"/>
    <w:rsid w:val="00223D87"/>
    <w:rsid w:val="00223D92"/>
    <w:rsid w:val="00223EA8"/>
    <w:rsid w:val="00224035"/>
    <w:rsid w:val="002244F8"/>
    <w:rsid w:val="00224D2E"/>
    <w:rsid w:val="00224E8E"/>
    <w:rsid w:val="0022526B"/>
    <w:rsid w:val="00226E62"/>
    <w:rsid w:val="002271BD"/>
    <w:rsid w:val="002276BB"/>
    <w:rsid w:val="00227773"/>
    <w:rsid w:val="00230DE3"/>
    <w:rsid w:val="002318BD"/>
    <w:rsid w:val="00231A28"/>
    <w:rsid w:val="00231B8C"/>
    <w:rsid w:val="00232ADE"/>
    <w:rsid w:val="00232FB6"/>
    <w:rsid w:val="002330A8"/>
    <w:rsid w:val="0023367F"/>
    <w:rsid w:val="002337BB"/>
    <w:rsid w:val="00233BB7"/>
    <w:rsid w:val="0023495E"/>
    <w:rsid w:val="00234D8B"/>
    <w:rsid w:val="00235259"/>
    <w:rsid w:val="002355D6"/>
    <w:rsid w:val="002358E9"/>
    <w:rsid w:val="00235FA7"/>
    <w:rsid w:val="002360C5"/>
    <w:rsid w:val="002401AF"/>
    <w:rsid w:val="0024036A"/>
    <w:rsid w:val="002405A4"/>
    <w:rsid w:val="00240722"/>
    <w:rsid w:val="002416C2"/>
    <w:rsid w:val="002431C3"/>
    <w:rsid w:val="002438FC"/>
    <w:rsid w:val="0024390B"/>
    <w:rsid w:val="0024395B"/>
    <w:rsid w:val="00243AC6"/>
    <w:rsid w:val="0024424A"/>
    <w:rsid w:val="00244CC0"/>
    <w:rsid w:val="002458D3"/>
    <w:rsid w:val="00245BF0"/>
    <w:rsid w:val="0024628A"/>
    <w:rsid w:val="002467BC"/>
    <w:rsid w:val="00247719"/>
    <w:rsid w:val="00247A49"/>
    <w:rsid w:val="00247F98"/>
    <w:rsid w:val="00250AE9"/>
    <w:rsid w:val="00250FCD"/>
    <w:rsid w:val="0025160C"/>
    <w:rsid w:val="00252A15"/>
    <w:rsid w:val="00252C98"/>
    <w:rsid w:val="002535C3"/>
    <w:rsid w:val="00253D2F"/>
    <w:rsid w:val="00253F10"/>
    <w:rsid w:val="002542AC"/>
    <w:rsid w:val="00255871"/>
    <w:rsid w:val="00256ABC"/>
    <w:rsid w:val="00256B67"/>
    <w:rsid w:val="0025726B"/>
    <w:rsid w:val="0026157A"/>
    <w:rsid w:val="00261E8F"/>
    <w:rsid w:val="0026237B"/>
    <w:rsid w:val="00262F09"/>
    <w:rsid w:val="002646A6"/>
    <w:rsid w:val="00264972"/>
    <w:rsid w:val="00264E64"/>
    <w:rsid w:val="00265323"/>
    <w:rsid w:val="0026591D"/>
    <w:rsid w:val="00265A1D"/>
    <w:rsid w:val="00265BD2"/>
    <w:rsid w:val="00266514"/>
    <w:rsid w:val="002679C3"/>
    <w:rsid w:val="0027006A"/>
    <w:rsid w:val="0027007B"/>
    <w:rsid w:val="002709D9"/>
    <w:rsid w:val="00270CEE"/>
    <w:rsid w:val="0027108C"/>
    <w:rsid w:val="0027115C"/>
    <w:rsid w:val="00271679"/>
    <w:rsid w:val="00271D9A"/>
    <w:rsid w:val="00272033"/>
    <w:rsid w:val="002723CA"/>
    <w:rsid w:val="0027251C"/>
    <w:rsid w:val="002731E1"/>
    <w:rsid w:val="00274CE9"/>
    <w:rsid w:val="00275132"/>
    <w:rsid w:val="00276139"/>
    <w:rsid w:val="002762C6"/>
    <w:rsid w:val="002766F2"/>
    <w:rsid w:val="0027706B"/>
    <w:rsid w:val="0027750D"/>
    <w:rsid w:val="0027772E"/>
    <w:rsid w:val="00277A60"/>
    <w:rsid w:val="00277CBB"/>
    <w:rsid w:val="0028023A"/>
    <w:rsid w:val="0028078D"/>
    <w:rsid w:val="00280FE0"/>
    <w:rsid w:val="002811CF"/>
    <w:rsid w:val="00282C47"/>
    <w:rsid w:val="00283D68"/>
    <w:rsid w:val="00283E37"/>
    <w:rsid w:val="00284493"/>
    <w:rsid w:val="002847C6"/>
    <w:rsid w:val="00284DE0"/>
    <w:rsid w:val="00285100"/>
    <w:rsid w:val="00285C1A"/>
    <w:rsid w:val="00285DE8"/>
    <w:rsid w:val="00285EDA"/>
    <w:rsid w:val="00285F67"/>
    <w:rsid w:val="0028613A"/>
    <w:rsid w:val="002865D3"/>
    <w:rsid w:val="00286B16"/>
    <w:rsid w:val="00286D6F"/>
    <w:rsid w:val="00287AF6"/>
    <w:rsid w:val="002901B8"/>
    <w:rsid w:val="00290D6B"/>
    <w:rsid w:val="00291ABB"/>
    <w:rsid w:val="002933EE"/>
    <w:rsid w:val="002939E5"/>
    <w:rsid w:val="00293D3B"/>
    <w:rsid w:val="00293DC9"/>
    <w:rsid w:val="002940B3"/>
    <w:rsid w:val="00294A49"/>
    <w:rsid w:val="00295586"/>
    <w:rsid w:val="00295669"/>
    <w:rsid w:val="00295ADB"/>
    <w:rsid w:val="002967BC"/>
    <w:rsid w:val="00296F72"/>
    <w:rsid w:val="002971B5"/>
    <w:rsid w:val="002972B4"/>
    <w:rsid w:val="00297642"/>
    <w:rsid w:val="0029769D"/>
    <w:rsid w:val="002A0146"/>
    <w:rsid w:val="002A0AB1"/>
    <w:rsid w:val="002A0EEB"/>
    <w:rsid w:val="002A1A73"/>
    <w:rsid w:val="002A2876"/>
    <w:rsid w:val="002A28FA"/>
    <w:rsid w:val="002A2FEF"/>
    <w:rsid w:val="002A37DB"/>
    <w:rsid w:val="002A386B"/>
    <w:rsid w:val="002A3913"/>
    <w:rsid w:val="002A3919"/>
    <w:rsid w:val="002A3930"/>
    <w:rsid w:val="002A4A2B"/>
    <w:rsid w:val="002A4DD3"/>
    <w:rsid w:val="002A5541"/>
    <w:rsid w:val="002A6406"/>
    <w:rsid w:val="002A6A57"/>
    <w:rsid w:val="002A6B15"/>
    <w:rsid w:val="002A7902"/>
    <w:rsid w:val="002B1D82"/>
    <w:rsid w:val="002B2182"/>
    <w:rsid w:val="002B2380"/>
    <w:rsid w:val="002B32B9"/>
    <w:rsid w:val="002B45FC"/>
    <w:rsid w:val="002B6EBA"/>
    <w:rsid w:val="002B7524"/>
    <w:rsid w:val="002B7913"/>
    <w:rsid w:val="002C02A1"/>
    <w:rsid w:val="002C046E"/>
    <w:rsid w:val="002C0557"/>
    <w:rsid w:val="002C0C05"/>
    <w:rsid w:val="002C11B6"/>
    <w:rsid w:val="002C35F8"/>
    <w:rsid w:val="002C40AC"/>
    <w:rsid w:val="002C4401"/>
    <w:rsid w:val="002C4479"/>
    <w:rsid w:val="002C49B4"/>
    <w:rsid w:val="002C4B00"/>
    <w:rsid w:val="002C4EAB"/>
    <w:rsid w:val="002C51F3"/>
    <w:rsid w:val="002C5514"/>
    <w:rsid w:val="002C57C1"/>
    <w:rsid w:val="002C7338"/>
    <w:rsid w:val="002C7A39"/>
    <w:rsid w:val="002C7E14"/>
    <w:rsid w:val="002D0014"/>
    <w:rsid w:val="002D0C2C"/>
    <w:rsid w:val="002D1262"/>
    <w:rsid w:val="002D168F"/>
    <w:rsid w:val="002D2726"/>
    <w:rsid w:val="002D2C64"/>
    <w:rsid w:val="002D2DA3"/>
    <w:rsid w:val="002D3674"/>
    <w:rsid w:val="002D4075"/>
    <w:rsid w:val="002D41C8"/>
    <w:rsid w:val="002D4591"/>
    <w:rsid w:val="002D4FAD"/>
    <w:rsid w:val="002D5C6F"/>
    <w:rsid w:val="002D6819"/>
    <w:rsid w:val="002D6BE4"/>
    <w:rsid w:val="002D6D56"/>
    <w:rsid w:val="002D6E40"/>
    <w:rsid w:val="002D6F28"/>
    <w:rsid w:val="002D73B3"/>
    <w:rsid w:val="002E0BB5"/>
    <w:rsid w:val="002E0C55"/>
    <w:rsid w:val="002E0CE0"/>
    <w:rsid w:val="002E15E5"/>
    <w:rsid w:val="002E1889"/>
    <w:rsid w:val="002E1ACF"/>
    <w:rsid w:val="002E26A9"/>
    <w:rsid w:val="002E2DED"/>
    <w:rsid w:val="002E3DBB"/>
    <w:rsid w:val="002E3F5A"/>
    <w:rsid w:val="002E493E"/>
    <w:rsid w:val="002E4A21"/>
    <w:rsid w:val="002E530E"/>
    <w:rsid w:val="002E6AA8"/>
    <w:rsid w:val="002E7492"/>
    <w:rsid w:val="002F12F2"/>
    <w:rsid w:val="002F134C"/>
    <w:rsid w:val="002F28DD"/>
    <w:rsid w:val="002F2E28"/>
    <w:rsid w:val="002F3DEF"/>
    <w:rsid w:val="002F42A1"/>
    <w:rsid w:val="002F5855"/>
    <w:rsid w:val="002F5974"/>
    <w:rsid w:val="002F6E9D"/>
    <w:rsid w:val="002F7252"/>
    <w:rsid w:val="0030005C"/>
    <w:rsid w:val="003003E8"/>
    <w:rsid w:val="00301E73"/>
    <w:rsid w:val="00302218"/>
    <w:rsid w:val="003022AA"/>
    <w:rsid w:val="00302CAE"/>
    <w:rsid w:val="00302E08"/>
    <w:rsid w:val="00304981"/>
    <w:rsid w:val="00304BC1"/>
    <w:rsid w:val="00304C1E"/>
    <w:rsid w:val="00304E69"/>
    <w:rsid w:val="00305A61"/>
    <w:rsid w:val="00306275"/>
    <w:rsid w:val="00306D5A"/>
    <w:rsid w:val="00306D91"/>
    <w:rsid w:val="00307193"/>
    <w:rsid w:val="0030742B"/>
    <w:rsid w:val="0030757D"/>
    <w:rsid w:val="003078C4"/>
    <w:rsid w:val="003079E5"/>
    <w:rsid w:val="00310795"/>
    <w:rsid w:val="00310B7A"/>
    <w:rsid w:val="00311D64"/>
    <w:rsid w:val="00311F92"/>
    <w:rsid w:val="00311FBE"/>
    <w:rsid w:val="003123F5"/>
    <w:rsid w:val="003129AB"/>
    <w:rsid w:val="00312F2C"/>
    <w:rsid w:val="00314706"/>
    <w:rsid w:val="00314FB5"/>
    <w:rsid w:val="003151A5"/>
    <w:rsid w:val="0031534D"/>
    <w:rsid w:val="00316233"/>
    <w:rsid w:val="00316D34"/>
    <w:rsid w:val="003173DE"/>
    <w:rsid w:val="003178FC"/>
    <w:rsid w:val="00320C5C"/>
    <w:rsid w:val="0032173E"/>
    <w:rsid w:val="00321A6F"/>
    <w:rsid w:val="00322207"/>
    <w:rsid w:val="0032229E"/>
    <w:rsid w:val="00322CC6"/>
    <w:rsid w:val="00322D8D"/>
    <w:rsid w:val="0032320B"/>
    <w:rsid w:val="00323CCC"/>
    <w:rsid w:val="00324E98"/>
    <w:rsid w:val="00325291"/>
    <w:rsid w:val="00325378"/>
    <w:rsid w:val="00325508"/>
    <w:rsid w:val="003262BF"/>
    <w:rsid w:val="003264FA"/>
    <w:rsid w:val="003265D6"/>
    <w:rsid w:val="0032781A"/>
    <w:rsid w:val="00327D35"/>
    <w:rsid w:val="00330596"/>
    <w:rsid w:val="00331A08"/>
    <w:rsid w:val="00331DD8"/>
    <w:rsid w:val="0033288F"/>
    <w:rsid w:val="00332FE1"/>
    <w:rsid w:val="003333AA"/>
    <w:rsid w:val="00334440"/>
    <w:rsid w:val="003346C8"/>
    <w:rsid w:val="00334E32"/>
    <w:rsid w:val="00335592"/>
    <w:rsid w:val="003355C7"/>
    <w:rsid w:val="0033659E"/>
    <w:rsid w:val="00336DCC"/>
    <w:rsid w:val="00336EF4"/>
    <w:rsid w:val="003377C9"/>
    <w:rsid w:val="00337E50"/>
    <w:rsid w:val="00340225"/>
    <w:rsid w:val="003409ED"/>
    <w:rsid w:val="00341B95"/>
    <w:rsid w:val="0034294E"/>
    <w:rsid w:val="00342998"/>
    <w:rsid w:val="00342D16"/>
    <w:rsid w:val="0034326E"/>
    <w:rsid w:val="003432AE"/>
    <w:rsid w:val="003439E9"/>
    <w:rsid w:val="00344670"/>
    <w:rsid w:val="00344CAD"/>
    <w:rsid w:val="003452CB"/>
    <w:rsid w:val="003457E0"/>
    <w:rsid w:val="00347199"/>
    <w:rsid w:val="00347238"/>
    <w:rsid w:val="0034758E"/>
    <w:rsid w:val="00347973"/>
    <w:rsid w:val="003500E8"/>
    <w:rsid w:val="00350551"/>
    <w:rsid w:val="00350D20"/>
    <w:rsid w:val="003510A3"/>
    <w:rsid w:val="003519A0"/>
    <w:rsid w:val="00353E88"/>
    <w:rsid w:val="00354CB2"/>
    <w:rsid w:val="00355675"/>
    <w:rsid w:val="00355A01"/>
    <w:rsid w:val="0035657A"/>
    <w:rsid w:val="00357849"/>
    <w:rsid w:val="00357AB1"/>
    <w:rsid w:val="003605BE"/>
    <w:rsid w:val="00360692"/>
    <w:rsid w:val="00361276"/>
    <w:rsid w:val="00361B60"/>
    <w:rsid w:val="0036275C"/>
    <w:rsid w:val="00362912"/>
    <w:rsid w:val="00362A5D"/>
    <w:rsid w:val="003635C6"/>
    <w:rsid w:val="00363678"/>
    <w:rsid w:val="00363C58"/>
    <w:rsid w:val="00365859"/>
    <w:rsid w:val="003658C6"/>
    <w:rsid w:val="00365D95"/>
    <w:rsid w:val="003663E9"/>
    <w:rsid w:val="0036697F"/>
    <w:rsid w:val="0036746B"/>
    <w:rsid w:val="00367D46"/>
    <w:rsid w:val="0037012C"/>
    <w:rsid w:val="0037069A"/>
    <w:rsid w:val="003715B0"/>
    <w:rsid w:val="00372180"/>
    <w:rsid w:val="0037240B"/>
    <w:rsid w:val="00372724"/>
    <w:rsid w:val="00372A8F"/>
    <w:rsid w:val="00372E01"/>
    <w:rsid w:val="00373779"/>
    <w:rsid w:val="00374080"/>
    <w:rsid w:val="00374761"/>
    <w:rsid w:val="00374DBD"/>
    <w:rsid w:val="00374EA0"/>
    <w:rsid w:val="003750D4"/>
    <w:rsid w:val="0037548D"/>
    <w:rsid w:val="00375CC1"/>
    <w:rsid w:val="00375FC5"/>
    <w:rsid w:val="003763ED"/>
    <w:rsid w:val="00377253"/>
    <w:rsid w:val="00377421"/>
    <w:rsid w:val="0038000C"/>
    <w:rsid w:val="0038026D"/>
    <w:rsid w:val="003816E8"/>
    <w:rsid w:val="003817DA"/>
    <w:rsid w:val="0038280E"/>
    <w:rsid w:val="003829AA"/>
    <w:rsid w:val="00382DD2"/>
    <w:rsid w:val="00382EAD"/>
    <w:rsid w:val="0038372D"/>
    <w:rsid w:val="00383BF0"/>
    <w:rsid w:val="00383C48"/>
    <w:rsid w:val="00383EF5"/>
    <w:rsid w:val="00384B04"/>
    <w:rsid w:val="00384EF6"/>
    <w:rsid w:val="00385957"/>
    <w:rsid w:val="0038651F"/>
    <w:rsid w:val="00386BD0"/>
    <w:rsid w:val="00386ECB"/>
    <w:rsid w:val="0038712C"/>
    <w:rsid w:val="00387B08"/>
    <w:rsid w:val="00387B0E"/>
    <w:rsid w:val="00387F4A"/>
    <w:rsid w:val="003903F1"/>
    <w:rsid w:val="003904CB"/>
    <w:rsid w:val="00390AFF"/>
    <w:rsid w:val="00393147"/>
    <w:rsid w:val="00393482"/>
    <w:rsid w:val="00393E3B"/>
    <w:rsid w:val="003941E3"/>
    <w:rsid w:val="00394555"/>
    <w:rsid w:val="00394A73"/>
    <w:rsid w:val="00394B21"/>
    <w:rsid w:val="00394BE5"/>
    <w:rsid w:val="0039633C"/>
    <w:rsid w:val="00396552"/>
    <w:rsid w:val="00396A63"/>
    <w:rsid w:val="00396D36"/>
    <w:rsid w:val="00397477"/>
    <w:rsid w:val="00397857"/>
    <w:rsid w:val="00397B07"/>
    <w:rsid w:val="00397BB7"/>
    <w:rsid w:val="003A01F6"/>
    <w:rsid w:val="003A0439"/>
    <w:rsid w:val="003A1A0F"/>
    <w:rsid w:val="003A1B35"/>
    <w:rsid w:val="003A1E20"/>
    <w:rsid w:val="003A22BF"/>
    <w:rsid w:val="003A26CA"/>
    <w:rsid w:val="003A2F68"/>
    <w:rsid w:val="003A39D9"/>
    <w:rsid w:val="003A414B"/>
    <w:rsid w:val="003A4478"/>
    <w:rsid w:val="003A4DF7"/>
    <w:rsid w:val="003A5634"/>
    <w:rsid w:val="003A5857"/>
    <w:rsid w:val="003A5C7D"/>
    <w:rsid w:val="003A6B4C"/>
    <w:rsid w:val="003A74AB"/>
    <w:rsid w:val="003A75BC"/>
    <w:rsid w:val="003A768D"/>
    <w:rsid w:val="003A7E3B"/>
    <w:rsid w:val="003A7EAF"/>
    <w:rsid w:val="003B0839"/>
    <w:rsid w:val="003B09E6"/>
    <w:rsid w:val="003B0B24"/>
    <w:rsid w:val="003B1865"/>
    <w:rsid w:val="003B25A0"/>
    <w:rsid w:val="003B2E23"/>
    <w:rsid w:val="003B3325"/>
    <w:rsid w:val="003B3702"/>
    <w:rsid w:val="003B3F2A"/>
    <w:rsid w:val="003B58BA"/>
    <w:rsid w:val="003B58C9"/>
    <w:rsid w:val="003B5B18"/>
    <w:rsid w:val="003B6F8A"/>
    <w:rsid w:val="003B7304"/>
    <w:rsid w:val="003B765B"/>
    <w:rsid w:val="003C0169"/>
    <w:rsid w:val="003C0C7A"/>
    <w:rsid w:val="003C11F9"/>
    <w:rsid w:val="003C2C8A"/>
    <w:rsid w:val="003C4327"/>
    <w:rsid w:val="003C52D6"/>
    <w:rsid w:val="003C5991"/>
    <w:rsid w:val="003C59D3"/>
    <w:rsid w:val="003C62AC"/>
    <w:rsid w:val="003C6452"/>
    <w:rsid w:val="003C6BF8"/>
    <w:rsid w:val="003C7115"/>
    <w:rsid w:val="003C7116"/>
    <w:rsid w:val="003C7AEB"/>
    <w:rsid w:val="003C7C40"/>
    <w:rsid w:val="003D1067"/>
    <w:rsid w:val="003D1286"/>
    <w:rsid w:val="003D164F"/>
    <w:rsid w:val="003D2963"/>
    <w:rsid w:val="003D30C8"/>
    <w:rsid w:val="003D3695"/>
    <w:rsid w:val="003D4253"/>
    <w:rsid w:val="003D603F"/>
    <w:rsid w:val="003D63A7"/>
    <w:rsid w:val="003D7179"/>
    <w:rsid w:val="003D7947"/>
    <w:rsid w:val="003E2526"/>
    <w:rsid w:val="003E2CBD"/>
    <w:rsid w:val="003E2D90"/>
    <w:rsid w:val="003E312B"/>
    <w:rsid w:val="003E3436"/>
    <w:rsid w:val="003E468E"/>
    <w:rsid w:val="003E4A30"/>
    <w:rsid w:val="003E4C4D"/>
    <w:rsid w:val="003E4CB9"/>
    <w:rsid w:val="003E4E63"/>
    <w:rsid w:val="003E5038"/>
    <w:rsid w:val="003E5526"/>
    <w:rsid w:val="003E5777"/>
    <w:rsid w:val="003E5AAE"/>
    <w:rsid w:val="003E5DF0"/>
    <w:rsid w:val="003E5F48"/>
    <w:rsid w:val="003E6CB5"/>
    <w:rsid w:val="003E6CBE"/>
    <w:rsid w:val="003E740D"/>
    <w:rsid w:val="003F0DFB"/>
    <w:rsid w:val="003F1650"/>
    <w:rsid w:val="003F2036"/>
    <w:rsid w:val="003F26C8"/>
    <w:rsid w:val="003F32BE"/>
    <w:rsid w:val="003F3A36"/>
    <w:rsid w:val="003F40A5"/>
    <w:rsid w:val="003F4BA2"/>
    <w:rsid w:val="003F4BDC"/>
    <w:rsid w:val="003F4E7D"/>
    <w:rsid w:val="003F526B"/>
    <w:rsid w:val="003F6163"/>
    <w:rsid w:val="003F6729"/>
    <w:rsid w:val="003F6B4B"/>
    <w:rsid w:val="003F75C9"/>
    <w:rsid w:val="003F7785"/>
    <w:rsid w:val="003F77BB"/>
    <w:rsid w:val="00400310"/>
    <w:rsid w:val="0040049C"/>
    <w:rsid w:val="00400D82"/>
    <w:rsid w:val="004011BD"/>
    <w:rsid w:val="0040184E"/>
    <w:rsid w:val="00402AA1"/>
    <w:rsid w:val="00403601"/>
    <w:rsid w:val="00404AAD"/>
    <w:rsid w:val="00404B3B"/>
    <w:rsid w:val="00404D54"/>
    <w:rsid w:val="00405641"/>
    <w:rsid w:val="004057DA"/>
    <w:rsid w:val="0040600A"/>
    <w:rsid w:val="004060BA"/>
    <w:rsid w:val="0040648C"/>
    <w:rsid w:val="00406560"/>
    <w:rsid w:val="00407664"/>
    <w:rsid w:val="00407B8E"/>
    <w:rsid w:val="00407FE7"/>
    <w:rsid w:val="00411B08"/>
    <w:rsid w:val="004126E4"/>
    <w:rsid w:val="0041319A"/>
    <w:rsid w:val="00413FCA"/>
    <w:rsid w:val="00414031"/>
    <w:rsid w:val="004144A1"/>
    <w:rsid w:val="004148F2"/>
    <w:rsid w:val="00414AE8"/>
    <w:rsid w:val="00415BA8"/>
    <w:rsid w:val="00416096"/>
    <w:rsid w:val="004161E0"/>
    <w:rsid w:val="0041655A"/>
    <w:rsid w:val="00416928"/>
    <w:rsid w:val="00416B78"/>
    <w:rsid w:val="00416F45"/>
    <w:rsid w:val="00417C39"/>
    <w:rsid w:val="00420556"/>
    <w:rsid w:val="00420BFF"/>
    <w:rsid w:val="00421390"/>
    <w:rsid w:val="00421B6E"/>
    <w:rsid w:val="00422954"/>
    <w:rsid w:val="00423463"/>
    <w:rsid w:val="0042442E"/>
    <w:rsid w:val="0042529F"/>
    <w:rsid w:val="00425FB5"/>
    <w:rsid w:val="00426B6B"/>
    <w:rsid w:val="00427DAD"/>
    <w:rsid w:val="004308E6"/>
    <w:rsid w:val="00430AFF"/>
    <w:rsid w:val="00430B10"/>
    <w:rsid w:val="00431412"/>
    <w:rsid w:val="00431A32"/>
    <w:rsid w:val="00431EC9"/>
    <w:rsid w:val="0043304E"/>
    <w:rsid w:val="00433C10"/>
    <w:rsid w:val="0043400C"/>
    <w:rsid w:val="00434233"/>
    <w:rsid w:val="00434E97"/>
    <w:rsid w:val="00435159"/>
    <w:rsid w:val="004360A0"/>
    <w:rsid w:val="004361A8"/>
    <w:rsid w:val="004364E4"/>
    <w:rsid w:val="0043729B"/>
    <w:rsid w:val="0044056A"/>
    <w:rsid w:val="004405F6"/>
    <w:rsid w:val="004408EB"/>
    <w:rsid w:val="0044098E"/>
    <w:rsid w:val="00441B18"/>
    <w:rsid w:val="00441EF5"/>
    <w:rsid w:val="00441F4C"/>
    <w:rsid w:val="00444325"/>
    <w:rsid w:val="004444C6"/>
    <w:rsid w:val="0044474B"/>
    <w:rsid w:val="00445048"/>
    <w:rsid w:val="00445AF7"/>
    <w:rsid w:val="004466A5"/>
    <w:rsid w:val="00446DF2"/>
    <w:rsid w:val="00447400"/>
    <w:rsid w:val="004478BE"/>
    <w:rsid w:val="004479A4"/>
    <w:rsid w:val="00447CEE"/>
    <w:rsid w:val="004505CA"/>
    <w:rsid w:val="00450786"/>
    <w:rsid w:val="00450AF9"/>
    <w:rsid w:val="0045171A"/>
    <w:rsid w:val="00451E6E"/>
    <w:rsid w:val="00451F6E"/>
    <w:rsid w:val="00452398"/>
    <w:rsid w:val="004523C7"/>
    <w:rsid w:val="00452671"/>
    <w:rsid w:val="00452CA9"/>
    <w:rsid w:val="00452FCC"/>
    <w:rsid w:val="0045347D"/>
    <w:rsid w:val="00455C66"/>
    <w:rsid w:val="004568E9"/>
    <w:rsid w:val="00456A2A"/>
    <w:rsid w:val="00456F0E"/>
    <w:rsid w:val="00457A3D"/>
    <w:rsid w:val="0046031C"/>
    <w:rsid w:val="00460431"/>
    <w:rsid w:val="004607C5"/>
    <w:rsid w:val="00460F6A"/>
    <w:rsid w:val="00460FE9"/>
    <w:rsid w:val="00461B52"/>
    <w:rsid w:val="00462B9E"/>
    <w:rsid w:val="00463073"/>
    <w:rsid w:val="004634AE"/>
    <w:rsid w:val="00464FE5"/>
    <w:rsid w:val="004665B8"/>
    <w:rsid w:val="00466A59"/>
    <w:rsid w:val="00467DED"/>
    <w:rsid w:val="004726D4"/>
    <w:rsid w:val="004738B3"/>
    <w:rsid w:val="00474336"/>
    <w:rsid w:val="00474508"/>
    <w:rsid w:val="0047533E"/>
    <w:rsid w:val="00475CB1"/>
    <w:rsid w:val="00476531"/>
    <w:rsid w:val="004765D2"/>
    <w:rsid w:val="00476AD4"/>
    <w:rsid w:val="00476D54"/>
    <w:rsid w:val="00476E8C"/>
    <w:rsid w:val="00476ED8"/>
    <w:rsid w:val="004771D1"/>
    <w:rsid w:val="004776E9"/>
    <w:rsid w:val="00477748"/>
    <w:rsid w:val="00477BCF"/>
    <w:rsid w:val="00480D35"/>
    <w:rsid w:val="00480DB3"/>
    <w:rsid w:val="004810EB"/>
    <w:rsid w:val="0048159D"/>
    <w:rsid w:val="004815DC"/>
    <w:rsid w:val="00481F34"/>
    <w:rsid w:val="0048214D"/>
    <w:rsid w:val="00482297"/>
    <w:rsid w:val="00482CC7"/>
    <w:rsid w:val="00482CE0"/>
    <w:rsid w:val="00482DC7"/>
    <w:rsid w:val="00483D5E"/>
    <w:rsid w:val="00484815"/>
    <w:rsid w:val="00485D99"/>
    <w:rsid w:val="004867A8"/>
    <w:rsid w:val="00486F0A"/>
    <w:rsid w:val="00487378"/>
    <w:rsid w:val="0048786C"/>
    <w:rsid w:val="00487946"/>
    <w:rsid w:val="00487CDD"/>
    <w:rsid w:val="004905C6"/>
    <w:rsid w:val="0049120F"/>
    <w:rsid w:val="00492223"/>
    <w:rsid w:val="00492784"/>
    <w:rsid w:val="00494C30"/>
    <w:rsid w:val="00494C91"/>
    <w:rsid w:val="0049652C"/>
    <w:rsid w:val="00496805"/>
    <w:rsid w:val="004968DA"/>
    <w:rsid w:val="00497333"/>
    <w:rsid w:val="00497A43"/>
    <w:rsid w:val="00497FED"/>
    <w:rsid w:val="004A113A"/>
    <w:rsid w:val="004A2F8A"/>
    <w:rsid w:val="004A315E"/>
    <w:rsid w:val="004A31A7"/>
    <w:rsid w:val="004A370B"/>
    <w:rsid w:val="004A48A4"/>
    <w:rsid w:val="004A4942"/>
    <w:rsid w:val="004A5127"/>
    <w:rsid w:val="004A5DE4"/>
    <w:rsid w:val="004A7690"/>
    <w:rsid w:val="004A7DF1"/>
    <w:rsid w:val="004A7E5F"/>
    <w:rsid w:val="004B1961"/>
    <w:rsid w:val="004B1C87"/>
    <w:rsid w:val="004B1F93"/>
    <w:rsid w:val="004B21B5"/>
    <w:rsid w:val="004B2E0B"/>
    <w:rsid w:val="004B3127"/>
    <w:rsid w:val="004B319E"/>
    <w:rsid w:val="004B31F4"/>
    <w:rsid w:val="004B4081"/>
    <w:rsid w:val="004B4127"/>
    <w:rsid w:val="004B41E5"/>
    <w:rsid w:val="004B4797"/>
    <w:rsid w:val="004B48B3"/>
    <w:rsid w:val="004B4D4A"/>
    <w:rsid w:val="004B6A5E"/>
    <w:rsid w:val="004B79B3"/>
    <w:rsid w:val="004B7BA5"/>
    <w:rsid w:val="004C07E4"/>
    <w:rsid w:val="004C09B5"/>
    <w:rsid w:val="004C0B08"/>
    <w:rsid w:val="004C0C0B"/>
    <w:rsid w:val="004C14ED"/>
    <w:rsid w:val="004C1AEA"/>
    <w:rsid w:val="004C1FDE"/>
    <w:rsid w:val="004C279B"/>
    <w:rsid w:val="004C38FC"/>
    <w:rsid w:val="004C47EF"/>
    <w:rsid w:val="004C4A60"/>
    <w:rsid w:val="004C5337"/>
    <w:rsid w:val="004C5A2B"/>
    <w:rsid w:val="004C5A52"/>
    <w:rsid w:val="004C5E22"/>
    <w:rsid w:val="004C6039"/>
    <w:rsid w:val="004C70DD"/>
    <w:rsid w:val="004D0ECD"/>
    <w:rsid w:val="004D11A4"/>
    <w:rsid w:val="004D2483"/>
    <w:rsid w:val="004D28D8"/>
    <w:rsid w:val="004D3EB3"/>
    <w:rsid w:val="004D4646"/>
    <w:rsid w:val="004D4D4E"/>
    <w:rsid w:val="004D6265"/>
    <w:rsid w:val="004D72AE"/>
    <w:rsid w:val="004D7302"/>
    <w:rsid w:val="004D7904"/>
    <w:rsid w:val="004E0931"/>
    <w:rsid w:val="004E1131"/>
    <w:rsid w:val="004E1393"/>
    <w:rsid w:val="004E23E4"/>
    <w:rsid w:val="004E2763"/>
    <w:rsid w:val="004E3080"/>
    <w:rsid w:val="004E371B"/>
    <w:rsid w:val="004E37D4"/>
    <w:rsid w:val="004E3EC7"/>
    <w:rsid w:val="004E4467"/>
    <w:rsid w:val="004E5495"/>
    <w:rsid w:val="004E5D6C"/>
    <w:rsid w:val="004E6211"/>
    <w:rsid w:val="004E69FF"/>
    <w:rsid w:val="004E7064"/>
    <w:rsid w:val="004F16C2"/>
    <w:rsid w:val="004F17A8"/>
    <w:rsid w:val="004F1FB6"/>
    <w:rsid w:val="004F3001"/>
    <w:rsid w:val="004F30A5"/>
    <w:rsid w:val="004F431F"/>
    <w:rsid w:val="004F4952"/>
    <w:rsid w:val="004F4972"/>
    <w:rsid w:val="004F4F3A"/>
    <w:rsid w:val="004F5342"/>
    <w:rsid w:val="004F5E57"/>
    <w:rsid w:val="004F6226"/>
    <w:rsid w:val="004F65D7"/>
    <w:rsid w:val="004F668D"/>
    <w:rsid w:val="004F6AB5"/>
    <w:rsid w:val="004F6AD2"/>
    <w:rsid w:val="004F7140"/>
    <w:rsid w:val="004F7248"/>
    <w:rsid w:val="004F7702"/>
    <w:rsid w:val="00500A6F"/>
    <w:rsid w:val="005010AF"/>
    <w:rsid w:val="00501100"/>
    <w:rsid w:val="005021A6"/>
    <w:rsid w:val="0050296E"/>
    <w:rsid w:val="00502A34"/>
    <w:rsid w:val="005034D9"/>
    <w:rsid w:val="00503D04"/>
    <w:rsid w:val="00504642"/>
    <w:rsid w:val="0050480C"/>
    <w:rsid w:val="00504D41"/>
    <w:rsid w:val="00505D74"/>
    <w:rsid w:val="005065F5"/>
    <w:rsid w:val="00506C06"/>
    <w:rsid w:val="0050734C"/>
    <w:rsid w:val="0050757F"/>
    <w:rsid w:val="005076A7"/>
    <w:rsid w:val="0051075D"/>
    <w:rsid w:val="00512E2D"/>
    <w:rsid w:val="005150C3"/>
    <w:rsid w:val="00515186"/>
    <w:rsid w:val="0052077F"/>
    <w:rsid w:val="00520B3C"/>
    <w:rsid w:val="00520C38"/>
    <w:rsid w:val="00520F29"/>
    <w:rsid w:val="005215A3"/>
    <w:rsid w:val="00521ED6"/>
    <w:rsid w:val="00522A0E"/>
    <w:rsid w:val="00523275"/>
    <w:rsid w:val="0052358F"/>
    <w:rsid w:val="00523966"/>
    <w:rsid w:val="00523B51"/>
    <w:rsid w:val="0052414C"/>
    <w:rsid w:val="00524D49"/>
    <w:rsid w:val="00524FC5"/>
    <w:rsid w:val="0052517B"/>
    <w:rsid w:val="0052532C"/>
    <w:rsid w:val="00525F08"/>
    <w:rsid w:val="00526139"/>
    <w:rsid w:val="0052614A"/>
    <w:rsid w:val="005267AF"/>
    <w:rsid w:val="00526CCD"/>
    <w:rsid w:val="00526CDB"/>
    <w:rsid w:val="00526F29"/>
    <w:rsid w:val="00527987"/>
    <w:rsid w:val="00530A44"/>
    <w:rsid w:val="00530F82"/>
    <w:rsid w:val="0053119D"/>
    <w:rsid w:val="00532744"/>
    <w:rsid w:val="005342EF"/>
    <w:rsid w:val="0053463B"/>
    <w:rsid w:val="005346FB"/>
    <w:rsid w:val="00534DE6"/>
    <w:rsid w:val="00536F1F"/>
    <w:rsid w:val="005405F9"/>
    <w:rsid w:val="005409DC"/>
    <w:rsid w:val="00540CAC"/>
    <w:rsid w:val="00541223"/>
    <w:rsid w:val="00541362"/>
    <w:rsid w:val="00541798"/>
    <w:rsid w:val="00541B0A"/>
    <w:rsid w:val="005423B0"/>
    <w:rsid w:val="00542759"/>
    <w:rsid w:val="0054294E"/>
    <w:rsid w:val="00543360"/>
    <w:rsid w:val="005436C2"/>
    <w:rsid w:val="005447E9"/>
    <w:rsid w:val="00544832"/>
    <w:rsid w:val="005448ED"/>
    <w:rsid w:val="00545754"/>
    <w:rsid w:val="00545A00"/>
    <w:rsid w:val="00546905"/>
    <w:rsid w:val="005470B6"/>
    <w:rsid w:val="00547840"/>
    <w:rsid w:val="00547C47"/>
    <w:rsid w:val="005500E9"/>
    <w:rsid w:val="00550875"/>
    <w:rsid w:val="00550D9B"/>
    <w:rsid w:val="00551889"/>
    <w:rsid w:val="005519F1"/>
    <w:rsid w:val="00551A6F"/>
    <w:rsid w:val="005528D0"/>
    <w:rsid w:val="005529F7"/>
    <w:rsid w:val="005530A7"/>
    <w:rsid w:val="00553644"/>
    <w:rsid w:val="00554051"/>
    <w:rsid w:val="005540B0"/>
    <w:rsid w:val="005543A7"/>
    <w:rsid w:val="0055475F"/>
    <w:rsid w:val="00554EE8"/>
    <w:rsid w:val="00554EFB"/>
    <w:rsid w:val="00555110"/>
    <w:rsid w:val="005553C9"/>
    <w:rsid w:val="00556407"/>
    <w:rsid w:val="00557079"/>
    <w:rsid w:val="0055768E"/>
    <w:rsid w:val="005579AC"/>
    <w:rsid w:val="00560061"/>
    <w:rsid w:val="005603E9"/>
    <w:rsid w:val="00560AF0"/>
    <w:rsid w:val="00560E7B"/>
    <w:rsid w:val="0056101B"/>
    <w:rsid w:val="00561031"/>
    <w:rsid w:val="0056108A"/>
    <w:rsid w:val="0056134C"/>
    <w:rsid w:val="005614EA"/>
    <w:rsid w:val="005614EB"/>
    <w:rsid w:val="00561664"/>
    <w:rsid w:val="005619F5"/>
    <w:rsid w:val="00561E1E"/>
    <w:rsid w:val="005623C4"/>
    <w:rsid w:val="00564513"/>
    <w:rsid w:val="0056459D"/>
    <w:rsid w:val="00564B4A"/>
    <w:rsid w:val="005655F6"/>
    <w:rsid w:val="00565A3D"/>
    <w:rsid w:val="00565EA9"/>
    <w:rsid w:val="00567664"/>
    <w:rsid w:val="00567C39"/>
    <w:rsid w:val="00570289"/>
    <w:rsid w:val="005713C3"/>
    <w:rsid w:val="00571482"/>
    <w:rsid w:val="00571892"/>
    <w:rsid w:val="00571DF8"/>
    <w:rsid w:val="00571EE0"/>
    <w:rsid w:val="005724A2"/>
    <w:rsid w:val="00572D55"/>
    <w:rsid w:val="00572F35"/>
    <w:rsid w:val="00573827"/>
    <w:rsid w:val="00573B17"/>
    <w:rsid w:val="00573D65"/>
    <w:rsid w:val="005744C9"/>
    <w:rsid w:val="005749BA"/>
    <w:rsid w:val="005750B5"/>
    <w:rsid w:val="00575836"/>
    <w:rsid w:val="00575CC6"/>
    <w:rsid w:val="00576141"/>
    <w:rsid w:val="00576BB1"/>
    <w:rsid w:val="0057721E"/>
    <w:rsid w:val="00577702"/>
    <w:rsid w:val="00577D94"/>
    <w:rsid w:val="0058067E"/>
    <w:rsid w:val="00580B3E"/>
    <w:rsid w:val="00581272"/>
    <w:rsid w:val="00582B4C"/>
    <w:rsid w:val="0058345F"/>
    <w:rsid w:val="005846E0"/>
    <w:rsid w:val="005848E8"/>
    <w:rsid w:val="00585427"/>
    <w:rsid w:val="00585FDC"/>
    <w:rsid w:val="005862F4"/>
    <w:rsid w:val="0058642A"/>
    <w:rsid w:val="00586435"/>
    <w:rsid w:val="005868AD"/>
    <w:rsid w:val="005869F2"/>
    <w:rsid w:val="00586C32"/>
    <w:rsid w:val="005875FA"/>
    <w:rsid w:val="00590A8D"/>
    <w:rsid w:val="00590C83"/>
    <w:rsid w:val="00591120"/>
    <w:rsid w:val="005923D7"/>
    <w:rsid w:val="00592417"/>
    <w:rsid w:val="00593D6E"/>
    <w:rsid w:val="00593DDB"/>
    <w:rsid w:val="00594058"/>
    <w:rsid w:val="0059448C"/>
    <w:rsid w:val="00594CD1"/>
    <w:rsid w:val="0059500F"/>
    <w:rsid w:val="00595FAD"/>
    <w:rsid w:val="00596434"/>
    <w:rsid w:val="00596CB5"/>
    <w:rsid w:val="00596DFF"/>
    <w:rsid w:val="00597316"/>
    <w:rsid w:val="005A0112"/>
    <w:rsid w:val="005A0228"/>
    <w:rsid w:val="005A13B7"/>
    <w:rsid w:val="005A1F7A"/>
    <w:rsid w:val="005A2B34"/>
    <w:rsid w:val="005A4794"/>
    <w:rsid w:val="005A59F5"/>
    <w:rsid w:val="005A5DC0"/>
    <w:rsid w:val="005B0BEF"/>
    <w:rsid w:val="005B135A"/>
    <w:rsid w:val="005B2381"/>
    <w:rsid w:val="005B23DC"/>
    <w:rsid w:val="005B2A5C"/>
    <w:rsid w:val="005B4E38"/>
    <w:rsid w:val="005B540C"/>
    <w:rsid w:val="005B629E"/>
    <w:rsid w:val="005B62E7"/>
    <w:rsid w:val="005B64B6"/>
    <w:rsid w:val="005B6588"/>
    <w:rsid w:val="005B68FE"/>
    <w:rsid w:val="005B7EEE"/>
    <w:rsid w:val="005C0591"/>
    <w:rsid w:val="005C0801"/>
    <w:rsid w:val="005C0EA4"/>
    <w:rsid w:val="005C1056"/>
    <w:rsid w:val="005C10CC"/>
    <w:rsid w:val="005C12F1"/>
    <w:rsid w:val="005C2525"/>
    <w:rsid w:val="005C2A40"/>
    <w:rsid w:val="005C3407"/>
    <w:rsid w:val="005C3523"/>
    <w:rsid w:val="005C4A66"/>
    <w:rsid w:val="005C5F56"/>
    <w:rsid w:val="005C61B5"/>
    <w:rsid w:val="005C6560"/>
    <w:rsid w:val="005C72DA"/>
    <w:rsid w:val="005C743E"/>
    <w:rsid w:val="005D01E1"/>
    <w:rsid w:val="005D05AB"/>
    <w:rsid w:val="005D06D1"/>
    <w:rsid w:val="005D0915"/>
    <w:rsid w:val="005D0D73"/>
    <w:rsid w:val="005D1057"/>
    <w:rsid w:val="005D10EB"/>
    <w:rsid w:val="005D14AA"/>
    <w:rsid w:val="005D1C56"/>
    <w:rsid w:val="005D1F7C"/>
    <w:rsid w:val="005D26D9"/>
    <w:rsid w:val="005D3367"/>
    <w:rsid w:val="005D3972"/>
    <w:rsid w:val="005D3D09"/>
    <w:rsid w:val="005D5005"/>
    <w:rsid w:val="005D535C"/>
    <w:rsid w:val="005D5721"/>
    <w:rsid w:val="005D5C0D"/>
    <w:rsid w:val="005D5FDE"/>
    <w:rsid w:val="005D770F"/>
    <w:rsid w:val="005E0079"/>
    <w:rsid w:val="005E0395"/>
    <w:rsid w:val="005E31C5"/>
    <w:rsid w:val="005E3C35"/>
    <w:rsid w:val="005E446A"/>
    <w:rsid w:val="005E4E32"/>
    <w:rsid w:val="005E571D"/>
    <w:rsid w:val="005E5764"/>
    <w:rsid w:val="005E5A22"/>
    <w:rsid w:val="005F0F82"/>
    <w:rsid w:val="005F1CF4"/>
    <w:rsid w:val="005F2BDF"/>
    <w:rsid w:val="005F44E3"/>
    <w:rsid w:val="005F5520"/>
    <w:rsid w:val="005F5552"/>
    <w:rsid w:val="005F566E"/>
    <w:rsid w:val="005F5A91"/>
    <w:rsid w:val="00600229"/>
    <w:rsid w:val="00600886"/>
    <w:rsid w:val="00600D63"/>
    <w:rsid w:val="00601B5E"/>
    <w:rsid w:val="0060237B"/>
    <w:rsid w:val="00602846"/>
    <w:rsid w:val="006031BD"/>
    <w:rsid w:val="00603458"/>
    <w:rsid w:val="006046A6"/>
    <w:rsid w:val="00605109"/>
    <w:rsid w:val="00605A9A"/>
    <w:rsid w:val="00607982"/>
    <w:rsid w:val="00611E23"/>
    <w:rsid w:val="006128E3"/>
    <w:rsid w:val="00612932"/>
    <w:rsid w:val="006132DA"/>
    <w:rsid w:val="0061397A"/>
    <w:rsid w:val="00613F36"/>
    <w:rsid w:val="0061413F"/>
    <w:rsid w:val="00614C9B"/>
    <w:rsid w:val="00615261"/>
    <w:rsid w:val="006153C3"/>
    <w:rsid w:val="00615557"/>
    <w:rsid w:val="006175F7"/>
    <w:rsid w:val="00621703"/>
    <w:rsid w:val="00621C7A"/>
    <w:rsid w:val="0062297E"/>
    <w:rsid w:val="00622CA5"/>
    <w:rsid w:val="00623F55"/>
    <w:rsid w:val="00624BA6"/>
    <w:rsid w:val="00625AB6"/>
    <w:rsid w:val="00626B32"/>
    <w:rsid w:val="006278DF"/>
    <w:rsid w:val="00627DBC"/>
    <w:rsid w:val="006305B4"/>
    <w:rsid w:val="006309B5"/>
    <w:rsid w:val="00631BFF"/>
    <w:rsid w:val="00631EAB"/>
    <w:rsid w:val="0063206E"/>
    <w:rsid w:val="00632645"/>
    <w:rsid w:val="0063379B"/>
    <w:rsid w:val="00633D26"/>
    <w:rsid w:val="00633F31"/>
    <w:rsid w:val="006346E9"/>
    <w:rsid w:val="006351FD"/>
    <w:rsid w:val="00635441"/>
    <w:rsid w:val="006359EE"/>
    <w:rsid w:val="00635BE5"/>
    <w:rsid w:val="00635CBD"/>
    <w:rsid w:val="0063753C"/>
    <w:rsid w:val="00637771"/>
    <w:rsid w:val="00637851"/>
    <w:rsid w:val="0064006C"/>
    <w:rsid w:val="0064054C"/>
    <w:rsid w:val="00640DFE"/>
    <w:rsid w:val="00641716"/>
    <w:rsid w:val="006423FB"/>
    <w:rsid w:val="006427D8"/>
    <w:rsid w:val="00644034"/>
    <w:rsid w:val="00644CE3"/>
    <w:rsid w:val="006456FC"/>
    <w:rsid w:val="00645F1C"/>
    <w:rsid w:val="006462FA"/>
    <w:rsid w:val="00646327"/>
    <w:rsid w:val="00647277"/>
    <w:rsid w:val="0064759B"/>
    <w:rsid w:val="006477F2"/>
    <w:rsid w:val="006477F4"/>
    <w:rsid w:val="006505BF"/>
    <w:rsid w:val="0065109D"/>
    <w:rsid w:val="00651425"/>
    <w:rsid w:val="0065156D"/>
    <w:rsid w:val="006519AC"/>
    <w:rsid w:val="00651DF3"/>
    <w:rsid w:val="00652114"/>
    <w:rsid w:val="006531B9"/>
    <w:rsid w:val="0065331E"/>
    <w:rsid w:val="0065347F"/>
    <w:rsid w:val="006534F3"/>
    <w:rsid w:val="006537CB"/>
    <w:rsid w:val="006537F2"/>
    <w:rsid w:val="00654F99"/>
    <w:rsid w:val="00655AA5"/>
    <w:rsid w:val="00655CFA"/>
    <w:rsid w:val="00655FBC"/>
    <w:rsid w:val="00656FCC"/>
    <w:rsid w:val="006570E7"/>
    <w:rsid w:val="00657AA3"/>
    <w:rsid w:val="00657E96"/>
    <w:rsid w:val="006602FB"/>
    <w:rsid w:val="0066083D"/>
    <w:rsid w:val="00660A96"/>
    <w:rsid w:val="0066122E"/>
    <w:rsid w:val="006613AB"/>
    <w:rsid w:val="00661534"/>
    <w:rsid w:val="00661DE4"/>
    <w:rsid w:val="00662BF6"/>
    <w:rsid w:val="006635A1"/>
    <w:rsid w:val="0066523A"/>
    <w:rsid w:val="006652BB"/>
    <w:rsid w:val="0066612F"/>
    <w:rsid w:val="00666273"/>
    <w:rsid w:val="00666726"/>
    <w:rsid w:val="00666B22"/>
    <w:rsid w:val="0066708C"/>
    <w:rsid w:val="00667299"/>
    <w:rsid w:val="00667641"/>
    <w:rsid w:val="00667A90"/>
    <w:rsid w:val="00667E5E"/>
    <w:rsid w:val="00671A7F"/>
    <w:rsid w:val="00671C1E"/>
    <w:rsid w:val="00671F22"/>
    <w:rsid w:val="006723AD"/>
    <w:rsid w:val="00672CF5"/>
    <w:rsid w:val="006736C7"/>
    <w:rsid w:val="0067402B"/>
    <w:rsid w:val="00674116"/>
    <w:rsid w:val="006747B7"/>
    <w:rsid w:val="00675264"/>
    <w:rsid w:val="006753C7"/>
    <w:rsid w:val="0067553E"/>
    <w:rsid w:val="00675EC2"/>
    <w:rsid w:val="006761B1"/>
    <w:rsid w:val="00676580"/>
    <w:rsid w:val="006769B9"/>
    <w:rsid w:val="00676E86"/>
    <w:rsid w:val="00676EFD"/>
    <w:rsid w:val="006803D2"/>
    <w:rsid w:val="00680848"/>
    <w:rsid w:val="00680CF8"/>
    <w:rsid w:val="006812CE"/>
    <w:rsid w:val="0068186D"/>
    <w:rsid w:val="00681E05"/>
    <w:rsid w:val="00681FB3"/>
    <w:rsid w:val="00682334"/>
    <w:rsid w:val="00684576"/>
    <w:rsid w:val="0068561A"/>
    <w:rsid w:val="00685872"/>
    <w:rsid w:val="00686674"/>
    <w:rsid w:val="00686DA3"/>
    <w:rsid w:val="006875FC"/>
    <w:rsid w:val="006876CD"/>
    <w:rsid w:val="00687C8B"/>
    <w:rsid w:val="00687D23"/>
    <w:rsid w:val="00687F63"/>
    <w:rsid w:val="00687FF2"/>
    <w:rsid w:val="00690219"/>
    <w:rsid w:val="00691290"/>
    <w:rsid w:val="00691633"/>
    <w:rsid w:val="006923D8"/>
    <w:rsid w:val="00692510"/>
    <w:rsid w:val="00693369"/>
    <w:rsid w:val="0069352D"/>
    <w:rsid w:val="00693ECB"/>
    <w:rsid w:val="00694434"/>
    <w:rsid w:val="006945B5"/>
    <w:rsid w:val="00695C5F"/>
    <w:rsid w:val="00695FBE"/>
    <w:rsid w:val="0069601B"/>
    <w:rsid w:val="00696171"/>
    <w:rsid w:val="00696531"/>
    <w:rsid w:val="0069693A"/>
    <w:rsid w:val="006973F3"/>
    <w:rsid w:val="00697481"/>
    <w:rsid w:val="006976D8"/>
    <w:rsid w:val="006978AE"/>
    <w:rsid w:val="00697AC8"/>
    <w:rsid w:val="00697C5C"/>
    <w:rsid w:val="006A0F8C"/>
    <w:rsid w:val="006A0FC2"/>
    <w:rsid w:val="006A1FC9"/>
    <w:rsid w:val="006A2417"/>
    <w:rsid w:val="006A28B9"/>
    <w:rsid w:val="006A2B6B"/>
    <w:rsid w:val="006A3774"/>
    <w:rsid w:val="006A3BEE"/>
    <w:rsid w:val="006A3E38"/>
    <w:rsid w:val="006A45BE"/>
    <w:rsid w:val="006A4B3A"/>
    <w:rsid w:val="006A4F2E"/>
    <w:rsid w:val="006A5353"/>
    <w:rsid w:val="006A614E"/>
    <w:rsid w:val="006A6323"/>
    <w:rsid w:val="006A6819"/>
    <w:rsid w:val="006A7700"/>
    <w:rsid w:val="006A7BD9"/>
    <w:rsid w:val="006B01ED"/>
    <w:rsid w:val="006B0922"/>
    <w:rsid w:val="006B1991"/>
    <w:rsid w:val="006B2342"/>
    <w:rsid w:val="006B2CA2"/>
    <w:rsid w:val="006B2D28"/>
    <w:rsid w:val="006B30B3"/>
    <w:rsid w:val="006B36C3"/>
    <w:rsid w:val="006B3E2C"/>
    <w:rsid w:val="006B3E8E"/>
    <w:rsid w:val="006B50BF"/>
    <w:rsid w:val="006B6987"/>
    <w:rsid w:val="006B75CC"/>
    <w:rsid w:val="006C08A0"/>
    <w:rsid w:val="006C1723"/>
    <w:rsid w:val="006C24DF"/>
    <w:rsid w:val="006C2502"/>
    <w:rsid w:val="006C46F4"/>
    <w:rsid w:val="006C4A88"/>
    <w:rsid w:val="006C519E"/>
    <w:rsid w:val="006C5D99"/>
    <w:rsid w:val="006C6390"/>
    <w:rsid w:val="006C65EB"/>
    <w:rsid w:val="006C68BA"/>
    <w:rsid w:val="006C7DF8"/>
    <w:rsid w:val="006C7F23"/>
    <w:rsid w:val="006D011A"/>
    <w:rsid w:val="006D0AC4"/>
    <w:rsid w:val="006D3520"/>
    <w:rsid w:val="006D4A81"/>
    <w:rsid w:val="006D4DBF"/>
    <w:rsid w:val="006D520D"/>
    <w:rsid w:val="006D5C01"/>
    <w:rsid w:val="006D68B7"/>
    <w:rsid w:val="006D69BD"/>
    <w:rsid w:val="006D6B52"/>
    <w:rsid w:val="006D6C6A"/>
    <w:rsid w:val="006D7960"/>
    <w:rsid w:val="006E0680"/>
    <w:rsid w:val="006E1131"/>
    <w:rsid w:val="006E1E4C"/>
    <w:rsid w:val="006E2113"/>
    <w:rsid w:val="006E25CF"/>
    <w:rsid w:val="006E2C17"/>
    <w:rsid w:val="006E3C9E"/>
    <w:rsid w:val="006E41FF"/>
    <w:rsid w:val="006E422C"/>
    <w:rsid w:val="006E4799"/>
    <w:rsid w:val="006E4870"/>
    <w:rsid w:val="006E48F4"/>
    <w:rsid w:val="006E4C04"/>
    <w:rsid w:val="006E4DFA"/>
    <w:rsid w:val="006E6432"/>
    <w:rsid w:val="006E69BA"/>
    <w:rsid w:val="006E764F"/>
    <w:rsid w:val="006E77C6"/>
    <w:rsid w:val="006E7A8E"/>
    <w:rsid w:val="006E7E34"/>
    <w:rsid w:val="006F490D"/>
    <w:rsid w:val="006F4C89"/>
    <w:rsid w:val="006F58D3"/>
    <w:rsid w:val="006F5E08"/>
    <w:rsid w:val="006F79F8"/>
    <w:rsid w:val="006F7A8A"/>
    <w:rsid w:val="0070009E"/>
    <w:rsid w:val="00700438"/>
    <w:rsid w:val="0070086B"/>
    <w:rsid w:val="00701618"/>
    <w:rsid w:val="007017F9"/>
    <w:rsid w:val="00702C56"/>
    <w:rsid w:val="007031C3"/>
    <w:rsid w:val="007050C1"/>
    <w:rsid w:val="0070577B"/>
    <w:rsid w:val="00705E1B"/>
    <w:rsid w:val="00705F89"/>
    <w:rsid w:val="007063E7"/>
    <w:rsid w:val="00706B6A"/>
    <w:rsid w:val="007101D7"/>
    <w:rsid w:val="0071095B"/>
    <w:rsid w:val="0071097C"/>
    <w:rsid w:val="00710A74"/>
    <w:rsid w:val="00710FE2"/>
    <w:rsid w:val="00711963"/>
    <w:rsid w:val="00711A23"/>
    <w:rsid w:val="00712775"/>
    <w:rsid w:val="007128DE"/>
    <w:rsid w:val="00712E58"/>
    <w:rsid w:val="00713E21"/>
    <w:rsid w:val="00714C0F"/>
    <w:rsid w:val="0071505A"/>
    <w:rsid w:val="007151F1"/>
    <w:rsid w:val="007152B6"/>
    <w:rsid w:val="00715D9C"/>
    <w:rsid w:val="00716D38"/>
    <w:rsid w:val="007174D8"/>
    <w:rsid w:val="007179CC"/>
    <w:rsid w:val="0072069D"/>
    <w:rsid w:val="0072079C"/>
    <w:rsid w:val="007208FD"/>
    <w:rsid w:val="00720F2C"/>
    <w:rsid w:val="007211A3"/>
    <w:rsid w:val="007217BB"/>
    <w:rsid w:val="00721C68"/>
    <w:rsid w:val="00721CC7"/>
    <w:rsid w:val="007221A5"/>
    <w:rsid w:val="00722203"/>
    <w:rsid w:val="007225DA"/>
    <w:rsid w:val="00722DC0"/>
    <w:rsid w:val="00722EB9"/>
    <w:rsid w:val="007242BD"/>
    <w:rsid w:val="00724E04"/>
    <w:rsid w:val="00725EEC"/>
    <w:rsid w:val="00726F90"/>
    <w:rsid w:val="00727286"/>
    <w:rsid w:val="00727BBB"/>
    <w:rsid w:val="00730A4D"/>
    <w:rsid w:val="00732178"/>
    <w:rsid w:val="0073231E"/>
    <w:rsid w:val="00732B54"/>
    <w:rsid w:val="007331B2"/>
    <w:rsid w:val="00733362"/>
    <w:rsid w:val="00733A10"/>
    <w:rsid w:val="007344D6"/>
    <w:rsid w:val="00734A7B"/>
    <w:rsid w:val="00734D31"/>
    <w:rsid w:val="0073534E"/>
    <w:rsid w:val="00735491"/>
    <w:rsid w:val="007365DE"/>
    <w:rsid w:val="00736CDA"/>
    <w:rsid w:val="00737678"/>
    <w:rsid w:val="0074070D"/>
    <w:rsid w:val="00740F3B"/>
    <w:rsid w:val="0074154F"/>
    <w:rsid w:val="007419FC"/>
    <w:rsid w:val="00741D33"/>
    <w:rsid w:val="007422DB"/>
    <w:rsid w:val="00742326"/>
    <w:rsid w:val="007430B6"/>
    <w:rsid w:val="00743AE0"/>
    <w:rsid w:val="00743C74"/>
    <w:rsid w:val="00743EA9"/>
    <w:rsid w:val="007440B4"/>
    <w:rsid w:val="00744349"/>
    <w:rsid w:val="0074555E"/>
    <w:rsid w:val="007464DA"/>
    <w:rsid w:val="00747618"/>
    <w:rsid w:val="00750566"/>
    <w:rsid w:val="00750A9E"/>
    <w:rsid w:val="007510EF"/>
    <w:rsid w:val="007515BA"/>
    <w:rsid w:val="00752ED4"/>
    <w:rsid w:val="00754C16"/>
    <w:rsid w:val="00757485"/>
    <w:rsid w:val="007574A9"/>
    <w:rsid w:val="00757ABC"/>
    <w:rsid w:val="00757CE6"/>
    <w:rsid w:val="0076048B"/>
    <w:rsid w:val="00760C44"/>
    <w:rsid w:val="00761073"/>
    <w:rsid w:val="00761E46"/>
    <w:rsid w:val="00763935"/>
    <w:rsid w:val="00763FDE"/>
    <w:rsid w:val="0076478A"/>
    <w:rsid w:val="007649D7"/>
    <w:rsid w:val="00764DA4"/>
    <w:rsid w:val="007651CE"/>
    <w:rsid w:val="0076577F"/>
    <w:rsid w:val="007657C2"/>
    <w:rsid w:val="00765912"/>
    <w:rsid w:val="00765E45"/>
    <w:rsid w:val="00765EFE"/>
    <w:rsid w:val="00766E77"/>
    <w:rsid w:val="007702E0"/>
    <w:rsid w:val="00770FAC"/>
    <w:rsid w:val="00771206"/>
    <w:rsid w:val="00771CDD"/>
    <w:rsid w:val="00773455"/>
    <w:rsid w:val="00773D48"/>
    <w:rsid w:val="00774281"/>
    <w:rsid w:val="00774D0A"/>
    <w:rsid w:val="007751C8"/>
    <w:rsid w:val="0077521C"/>
    <w:rsid w:val="00775280"/>
    <w:rsid w:val="00775855"/>
    <w:rsid w:val="007771D2"/>
    <w:rsid w:val="0077729C"/>
    <w:rsid w:val="00777642"/>
    <w:rsid w:val="007802D7"/>
    <w:rsid w:val="00780360"/>
    <w:rsid w:val="0078077C"/>
    <w:rsid w:val="00780EF4"/>
    <w:rsid w:val="007813B9"/>
    <w:rsid w:val="007816EA"/>
    <w:rsid w:val="007818C9"/>
    <w:rsid w:val="00781E98"/>
    <w:rsid w:val="00781FEE"/>
    <w:rsid w:val="007826FD"/>
    <w:rsid w:val="00782D74"/>
    <w:rsid w:val="00783A10"/>
    <w:rsid w:val="00784384"/>
    <w:rsid w:val="0078438C"/>
    <w:rsid w:val="007856CD"/>
    <w:rsid w:val="00785A2E"/>
    <w:rsid w:val="00785AAC"/>
    <w:rsid w:val="00785AAF"/>
    <w:rsid w:val="00785F32"/>
    <w:rsid w:val="00786691"/>
    <w:rsid w:val="00787426"/>
    <w:rsid w:val="00787A83"/>
    <w:rsid w:val="00787D9B"/>
    <w:rsid w:val="007904CA"/>
    <w:rsid w:val="00790960"/>
    <w:rsid w:val="007914B4"/>
    <w:rsid w:val="00791ACD"/>
    <w:rsid w:val="00792275"/>
    <w:rsid w:val="00793137"/>
    <w:rsid w:val="00793603"/>
    <w:rsid w:val="007936D3"/>
    <w:rsid w:val="0079370E"/>
    <w:rsid w:val="00795311"/>
    <w:rsid w:val="007970F0"/>
    <w:rsid w:val="00797767"/>
    <w:rsid w:val="007977F7"/>
    <w:rsid w:val="007A05CE"/>
    <w:rsid w:val="007A2264"/>
    <w:rsid w:val="007A227F"/>
    <w:rsid w:val="007A259B"/>
    <w:rsid w:val="007A2BF2"/>
    <w:rsid w:val="007A3A61"/>
    <w:rsid w:val="007A4D1D"/>
    <w:rsid w:val="007A5ECD"/>
    <w:rsid w:val="007A6304"/>
    <w:rsid w:val="007A66F4"/>
    <w:rsid w:val="007A6A98"/>
    <w:rsid w:val="007B0793"/>
    <w:rsid w:val="007B0870"/>
    <w:rsid w:val="007B09D5"/>
    <w:rsid w:val="007B17BB"/>
    <w:rsid w:val="007B1AC6"/>
    <w:rsid w:val="007B1B5B"/>
    <w:rsid w:val="007B1DAA"/>
    <w:rsid w:val="007B1E57"/>
    <w:rsid w:val="007B2C49"/>
    <w:rsid w:val="007B2CC3"/>
    <w:rsid w:val="007B3088"/>
    <w:rsid w:val="007B342C"/>
    <w:rsid w:val="007B38FA"/>
    <w:rsid w:val="007B3F3A"/>
    <w:rsid w:val="007B415A"/>
    <w:rsid w:val="007B45C7"/>
    <w:rsid w:val="007B51CE"/>
    <w:rsid w:val="007B53F5"/>
    <w:rsid w:val="007B5633"/>
    <w:rsid w:val="007B69BD"/>
    <w:rsid w:val="007B7B7F"/>
    <w:rsid w:val="007B7C71"/>
    <w:rsid w:val="007C0CF7"/>
    <w:rsid w:val="007C1161"/>
    <w:rsid w:val="007C1276"/>
    <w:rsid w:val="007C16E8"/>
    <w:rsid w:val="007C1720"/>
    <w:rsid w:val="007C187D"/>
    <w:rsid w:val="007C1FB9"/>
    <w:rsid w:val="007C24DB"/>
    <w:rsid w:val="007C2550"/>
    <w:rsid w:val="007C3B95"/>
    <w:rsid w:val="007C3FE7"/>
    <w:rsid w:val="007C434A"/>
    <w:rsid w:val="007C58F9"/>
    <w:rsid w:val="007C5952"/>
    <w:rsid w:val="007C64B5"/>
    <w:rsid w:val="007C735B"/>
    <w:rsid w:val="007C768F"/>
    <w:rsid w:val="007C76FA"/>
    <w:rsid w:val="007C7759"/>
    <w:rsid w:val="007C7F37"/>
    <w:rsid w:val="007D0058"/>
    <w:rsid w:val="007D02C1"/>
    <w:rsid w:val="007D0392"/>
    <w:rsid w:val="007D0585"/>
    <w:rsid w:val="007D0D83"/>
    <w:rsid w:val="007D0EA9"/>
    <w:rsid w:val="007D1B84"/>
    <w:rsid w:val="007D1CB2"/>
    <w:rsid w:val="007D1FB0"/>
    <w:rsid w:val="007D2385"/>
    <w:rsid w:val="007D25DA"/>
    <w:rsid w:val="007D2D63"/>
    <w:rsid w:val="007D375D"/>
    <w:rsid w:val="007D4762"/>
    <w:rsid w:val="007D476C"/>
    <w:rsid w:val="007D5300"/>
    <w:rsid w:val="007D65ED"/>
    <w:rsid w:val="007D6798"/>
    <w:rsid w:val="007D68FA"/>
    <w:rsid w:val="007D6D07"/>
    <w:rsid w:val="007D7057"/>
    <w:rsid w:val="007D7590"/>
    <w:rsid w:val="007D79AC"/>
    <w:rsid w:val="007E03E4"/>
    <w:rsid w:val="007E052A"/>
    <w:rsid w:val="007E0ADF"/>
    <w:rsid w:val="007E0B26"/>
    <w:rsid w:val="007E1DAF"/>
    <w:rsid w:val="007E2C55"/>
    <w:rsid w:val="007E30D2"/>
    <w:rsid w:val="007E3274"/>
    <w:rsid w:val="007E39CC"/>
    <w:rsid w:val="007E3BD0"/>
    <w:rsid w:val="007E477E"/>
    <w:rsid w:val="007E498F"/>
    <w:rsid w:val="007E56F6"/>
    <w:rsid w:val="007E6414"/>
    <w:rsid w:val="007E68FD"/>
    <w:rsid w:val="007E7602"/>
    <w:rsid w:val="007E7609"/>
    <w:rsid w:val="007E7ACE"/>
    <w:rsid w:val="007E7C33"/>
    <w:rsid w:val="007F0690"/>
    <w:rsid w:val="007F072F"/>
    <w:rsid w:val="007F0909"/>
    <w:rsid w:val="007F175D"/>
    <w:rsid w:val="007F3009"/>
    <w:rsid w:val="007F3BEA"/>
    <w:rsid w:val="007F3ED5"/>
    <w:rsid w:val="007F4D78"/>
    <w:rsid w:val="007F54B4"/>
    <w:rsid w:val="007F5681"/>
    <w:rsid w:val="007F5E95"/>
    <w:rsid w:val="007F7465"/>
    <w:rsid w:val="0080042A"/>
    <w:rsid w:val="0080081B"/>
    <w:rsid w:val="00800B1C"/>
    <w:rsid w:val="008010B8"/>
    <w:rsid w:val="00801517"/>
    <w:rsid w:val="0080169B"/>
    <w:rsid w:val="0080176F"/>
    <w:rsid w:val="00801834"/>
    <w:rsid w:val="00801895"/>
    <w:rsid w:val="00802000"/>
    <w:rsid w:val="00802A83"/>
    <w:rsid w:val="0080351F"/>
    <w:rsid w:val="008037B6"/>
    <w:rsid w:val="00803B4C"/>
    <w:rsid w:val="00805083"/>
    <w:rsid w:val="00805151"/>
    <w:rsid w:val="00806052"/>
    <w:rsid w:val="0080618A"/>
    <w:rsid w:val="00806791"/>
    <w:rsid w:val="0080692D"/>
    <w:rsid w:val="00806AEE"/>
    <w:rsid w:val="00807088"/>
    <w:rsid w:val="00807EC5"/>
    <w:rsid w:val="008104F2"/>
    <w:rsid w:val="0081117E"/>
    <w:rsid w:val="008137A0"/>
    <w:rsid w:val="008137B7"/>
    <w:rsid w:val="00813B6C"/>
    <w:rsid w:val="00813DE5"/>
    <w:rsid w:val="00814195"/>
    <w:rsid w:val="0081476B"/>
    <w:rsid w:val="00814B46"/>
    <w:rsid w:val="00815051"/>
    <w:rsid w:val="0081511B"/>
    <w:rsid w:val="0081512A"/>
    <w:rsid w:val="00815594"/>
    <w:rsid w:val="0081566C"/>
    <w:rsid w:val="00815FFF"/>
    <w:rsid w:val="00816545"/>
    <w:rsid w:val="008174BA"/>
    <w:rsid w:val="00817616"/>
    <w:rsid w:val="00817759"/>
    <w:rsid w:val="00817A76"/>
    <w:rsid w:val="00820D4E"/>
    <w:rsid w:val="00821731"/>
    <w:rsid w:val="00821BDE"/>
    <w:rsid w:val="0082279D"/>
    <w:rsid w:val="00823329"/>
    <w:rsid w:val="00823976"/>
    <w:rsid w:val="00823B2E"/>
    <w:rsid w:val="008241B1"/>
    <w:rsid w:val="00824408"/>
    <w:rsid w:val="008244D1"/>
    <w:rsid w:val="0082481B"/>
    <w:rsid w:val="00824C4F"/>
    <w:rsid w:val="00825913"/>
    <w:rsid w:val="00825EEA"/>
    <w:rsid w:val="0082600E"/>
    <w:rsid w:val="00826680"/>
    <w:rsid w:val="00827651"/>
    <w:rsid w:val="00827ABA"/>
    <w:rsid w:val="008305AA"/>
    <w:rsid w:val="00830C6E"/>
    <w:rsid w:val="0083102A"/>
    <w:rsid w:val="0083110B"/>
    <w:rsid w:val="008314AE"/>
    <w:rsid w:val="008327A6"/>
    <w:rsid w:val="0083327F"/>
    <w:rsid w:val="00833C74"/>
    <w:rsid w:val="00834856"/>
    <w:rsid w:val="00834B14"/>
    <w:rsid w:val="00834DB9"/>
    <w:rsid w:val="00834EC5"/>
    <w:rsid w:val="00835BAB"/>
    <w:rsid w:val="00835FA6"/>
    <w:rsid w:val="00836378"/>
    <w:rsid w:val="00836C21"/>
    <w:rsid w:val="0083730E"/>
    <w:rsid w:val="008374D1"/>
    <w:rsid w:val="00837A44"/>
    <w:rsid w:val="00840867"/>
    <w:rsid w:val="00840927"/>
    <w:rsid w:val="0084092B"/>
    <w:rsid w:val="00841D8E"/>
    <w:rsid w:val="00842E2B"/>
    <w:rsid w:val="00843378"/>
    <w:rsid w:val="00843773"/>
    <w:rsid w:val="00843D9D"/>
    <w:rsid w:val="00844218"/>
    <w:rsid w:val="008442D6"/>
    <w:rsid w:val="0084487C"/>
    <w:rsid w:val="00845766"/>
    <w:rsid w:val="0084581E"/>
    <w:rsid w:val="008472DC"/>
    <w:rsid w:val="008475B7"/>
    <w:rsid w:val="00847E9E"/>
    <w:rsid w:val="00850726"/>
    <w:rsid w:val="00850A9F"/>
    <w:rsid w:val="008517C5"/>
    <w:rsid w:val="00853494"/>
    <w:rsid w:val="0085355D"/>
    <w:rsid w:val="00855B96"/>
    <w:rsid w:val="008560D0"/>
    <w:rsid w:val="00856297"/>
    <w:rsid w:val="008566E0"/>
    <w:rsid w:val="00856875"/>
    <w:rsid w:val="008570A9"/>
    <w:rsid w:val="0086104C"/>
    <w:rsid w:val="008614C4"/>
    <w:rsid w:val="00861A1C"/>
    <w:rsid w:val="00861CE6"/>
    <w:rsid w:val="00862FDD"/>
    <w:rsid w:val="00863F24"/>
    <w:rsid w:val="008642ED"/>
    <w:rsid w:val="00864399"/>
    <w:rsid w:val="0086483B"/>
    <w:rsid w:val="008661AF"/>
    <w:rsid w:val="00866EB2"/>
    <w:rsid w:val="0086711D"/>
    <w:rsid w:val="00867FCA"/>
    <w:rsid w:val="008701DD"/>
    <w:rsid w:val="00870EC2"/>
    <w:rsid w:val="00871888"/>
    <w:rsid w:val="008718E9"/>
    <w:rsid w:val="00873022"/>
    <w:rsid w:val="0087344F"/>
    <w:rsid w:val="00873681"/>
    <w:rsid w:val="008746E7"/>
    <w:rsid w:val="00874745"/>
    <w:rsid w:val="00874FE7"/>
    <w:rsid w:val="0087521A"/>
    <w:rsid w:val="0087580A"/>
    <w:rsid w:val="00876019"/>
    <w:rsid w:val="008766DC"/>
    <w:rsid w:val="00876F97"/>
    <w:rsid w:val="00877AA7"/>
    <w:rsid w:val="00877ADA"/>
    <w:rsid w:val="00881001"/>
    <w:rsid w:val="0088139D"/>
    <w:rsid w:val="00881B4E"/>
    <w:rsid w:val="00881BA6"/>
    <w:rsid w:val="00882075"/>
    <w:rsid w:val="008837DA"/>
    <w:rsid w:val="008838D2"/>
    <w:rsid w:val="00883F56"/>
    <w:rsid w:val="00885434"/>
    <w:rsid w:val="0088553D"/>
    <w:rsid w:val="00885641"/>
    <w:rsid w:val="00885CDD"/>
    <w:rsid w:val="00886123"/>
    <w:rsid w:val="00886556"/>
    <w:rsid w:val="0088727F"/>
    <w:rsid w:val="00887648"/>
    <w:rsid w:val="008879FE"/>
    <w:rsid w:val="00890C3F"/>
    <w:rsid w:val="00890DCD"/>
    <w:rsid w:val="0089248D"/>
    <w:rsid w:val="00892B5B"/>
    <w:rsid w:val="00892BE8"/>
    <w:rsid w:val="008931EE"/>
    <w:rsid w:val="008937AB"/>
    <w:rsid w:val="008943F5"/>
    <w:rsid w:val="00894CF5"/>
    <w:rsid w:val="008950BF"/>
    <w:rsid w:val="0089511A"/>
    <w:rsid w:val="00895B06"/>
    <w:rsid w:val="00896893"/>
    <w:rsid w:val="00896C9F"/>
    <w:rsid w:val="008A06A7"/>
    <w:rsid w:val="008A075F"/>
    <w:rsid w:val="008A176D"/>
    <w:rsid w:val="008A179B"/>
    <w:rsid w:val="008A211E"/>
    <w:rsid w:val="008A2924"/>
    <w:rsid w:val="008A2B8D"/>
    <w:rsid w:val="008A41C5"/>
    <w:rsid w:val="008A4251"/>
    <w:rsid w:val="008A5085"/>
    <w:rsid w:val="008A6084"/>
    <w:rsid w:val="008A64AA"/>
    <w:rsid w:val="008A6644"/>
    <w:rsid w:val="008A70F6"/>
    <w:rsid w:val="008A720D"/>
    <w:rsid w:val="008A78D7"/>
    <w:rsid w:val="008A7B6A"/>
    <w:rsid w:val="008A7CF7"/>
    <w:rsid w:val="008B01AD"/>
    <w:rsid w:val="008B117D"/>
    <w:rsid w:val="008B1872"/>
    <w:rsid w:val="008B1B28"/>
    <w:rsid w:val="008B2005"/>
    <w:rsid w:val="008B27BE"/>
    <w:rsid w:val="008B30A9"/>
    <w:rsid w:val="008B3634"/>
    <w:rsid w:val="008B5005"/>
    <w:rsid w:val="008B5B8A"/>
    <w:rsid w:val="008B6037"/>
    <w:rsid w:val="008B6D69"/>
    <w:rsid w:val="008B7A73"/>
    <w:rsid w:val="008B7F0E"/>
    <w:rsid w:val="008C14BA"/>
    <w:rsid w:val="008C17F3"/>
    <w:rsid w:val="008C1EB6"/>
    <w:rsid w:val="008C22EB"/>
    <w:rsid w:val="008C23AB"/>
    <w:rsid w:val="008C4863"/>
    <w:rsid w:val="008C4B33"/>
    <w:rsid w:val="008C4C3A"/>
    <w:rsid w:val="008C4F3F"/>
    <w:rsid w:val="008C512D"/>
    <w:rsid w:val="008C5B17"/>
    <w:rsid w:val="008C5DA4"/>
    <w:rsid w:val="008C60E5"/>
    <w:rsid w:val="008C6FF9"/>
    <w:rsid w:val="008C7B03"/>
    <w:rsid w:val="008C7DB9"/>
    <w:rsid w:val="008C7F1E"/>
    <w:rsid w:val="008D05FC"/>
    <w:rsid w:val="008D0731"/>
    <w:rsid w:val="008D0A3B"/>
    <w:rsid w:val="008D0C8C"/>
    <w:rsid w:val="008D148C"/>
    <w:rsid w:val="008D1547"/>
    <w:rsid w:val="008D1A19"/>
    <w:rsid w:val="008D1AC2"/>
    <w:rsid w:val="008D1F5D"/>
    <w:rsid w:val="008D2275"/>
    <w:rsid w:val="008D259B"/>
    <w:rsid w:val="008D2949"/>
    <w:rsid w:val="008D2DBE"/>
    <w:rsid w:val="008D2F88"/>
    <w:rsid w:val="008D4667"/>
    <w:rsid w:val="008D4B3D"/>
    <w:rsid w:val="008D53F2"/>
    <w:rsid w:val="008D5EEF"/>
    <w:rsid w:val="008D5FA1"/>
    <w:rsid w:val="008D6398"/>
    <w:rsid w:val="008D644F"/>
    <w:rsid w:val="008D6744"/>
    <w:rsid w:val="008D6D4E"/>
    <w:rsid w:val="008D6DF7"/>
    <w:rsid w:val="008D755B"/>
    <w:rsid w:val="008D799E"/>
    <w:rsid w:val="008E1132"/>
    <w:rsid w:val="008E11F9"/>
    <w:rsid w:val="008E15B2"/>
    <w:rsid w:val="008E3BAF"/>
    <w:rsid w:val="008E4F10"/>
    <w:rsid w:val="008E5CC5"/>
    <w:rsid w:val="008E62CD"/>
    <w:rsid w:val="008E63CE"/>
    <w:rsid w:val="008E6627"/>
    <w:rsid w:val="008E6AF0"/>
    <w:rsid w:val="008E773D"/>
    <w:rsid w:val="008E79EE"/>
    <w:rsid w:val="008F0580"/>
    <w:rsid w:val="008F1451"/>
    <w:rsid w:val="008F1CED"/>
    <w:rsid w:val="008F2635"/>
    <w:rsid w:val="008F2691"/>
    <w:rsid w:val="008F2DC1"/>
    <w:rsid w:val="008F2F06"/>
    <w:rsid w:val="008F3724"/>
    <w:rsid w:val="008F4290"/>
    <w:rsid w:val="008F6076"/>
    <w:rsid w:val="008F7962"/>
    <w:rsid w:val="008F7BCE"/>
    <w:rsid w:val="008F7BFD"/>
    <w:rsid w:val="008F7D11"/>
    <w:rsid w:val="008F7DE6"/>
    <w:rsid w:val="009006B5"/>
    <w:rsid w:val="00900718"/>
    <w:rsid w:val="0090078B"/>
    <w:rsid w:val="00900B1E"/>
    <w:rsid w:val="0090121F"/>
    <w:rsid w:val="00901F71"/>
    <w:rsid w:val="00902486"/>
    <w:rsid w:val="00902780"/>
    <w:rsid w:val="00904F01"/>
    <w:rsid w:val="00905074"/>
    <w:rsid w:val="009055A9"/>
    <w:rsid w:val="00905950"/>
    <w:rsid w:val="00906588"/>
    <w:rsid w:val="00906B99"/>
    <w:rsid w:val="00906F2E"/>
    <w:rsid w:val="0091049A"/>
    <w:rsid w:val="009105F6"/>
    <w:rsid w:val="0091249C"/>
    <w:rsid w:val="009125C6"/>
    <w:rsid w:val="00912C00"/>
    <w:rsid w:val="009130D9"/>
    <w:rsid w:val="00913176"/>
    <w:rsid w:val="0091322D"/>
    <w:rsid w:val="00914100"/>
    <w:rsid w:val="009143FB"/>
    <w:rsid w:val="009146A7"/>
    <w:rsid w:val="0091512F"/>
    <w:rsid w:val="00915656"/>
    <w:rsid w:val="00915802"/>
    <w:rsid w:val="00915AD8"/>
    <w:rsid w:val="00916236"/>
    <w:rsid w:val="0091641E"/>
    <w:rsid w:val="009166BE"/>
    <w:rsid w:val="0091677F"/>
    <w:rsid w:val="00917021"/>
    <w:rsid w:val="009171D6"/>
    <w:rsid w:val="00920039"/>
    <w:rsid w:val="00921078"/>
    <w:rsid w:val="009222D8"/>
    <w:rsid w:val="0092263F"/>
    <w:rsid w:val="0092313D"/>
    <w:rsid w:val="00924650"/>
    <w:rsid w:val="009246DC"/>
    <w:rsid w:val="009250D8"/>
    <w:rsid w:val="009252A0"/>
    <w:rsid w:val="0092537C"/>
    <w:rsid w:val="00925F4F"/>
    <w:rsid w:val="00926618"/>
    <w:rsid w:val="00926D0F"/>
    <w:rsid w:val="00926D9D"/>
    <w:rsid w:val="00930257"/>
    <w:rsid w:val="00930EB9"/>
    <w:rsid w:val="00930F1E"/>
    <w:rsid w:val="00931512"/>
    <w:rsid w:val="0093167D"/>
    <w:rsid w:val="00931EDA"/>
    <w:rsid w:val="00931F7A"/>
    <w:rsid w:val="00932C04"/>
    <w:rsid w:val="00932DBD"/>
    <w:rsid w:val="00932EB6"/>
    <w:rsid w:val="00933A49"/>
    <w:rsid w:val="009340B0"/>
    <w:rsid w:val="00934D88"/>
    <w:rsid w:val="009362B7"/>
    <w:rsid w:val="00936E52"/>
    <w:rsid w:val="009371D1"/>
    <w:rsid w:val="009374F0"/>
    <w:rsid w:val="009375D0"/>
    <w:rsid w:val="00937957"/>
    <w:rsid w:val="00937B62"/>
    <w:rsid w:val="00937C40"/>
    <w:rsid w:val="00937D24"/>
    <w:rsid w:val="00937D6D"/>
    <w:rsid w:val="00937FDD"/>
    <w:rsid w:val="00940030"/>
    <w:rsid w:val="009400E4"/>
    <w:rsid w:val="009406E3"/>
    <w:rsid w:val="0094077A"/>
    <w:rsid w:val="00940CF5"/>
    <w:rsid w:val="00940EE4"/>
    <w:rsid w:val="00941129"/>
    <w:rsid w:val="00941365"/>
    <w:rsid w:val="00941DA1"/>
    <w:rsid w:val="00941E54"/>
    <w:rsid w:val="00942DC7"/>
    <w:rsid w:val="00943035"/>
    <w:rsid w:val="0094321A"/>
    <w:rsid w:val="00943B26"/>
    <w:rsid w:val="00944215"/>
    <w:rsid w:val="00944846"/>
    <w:rsid w:val="00946559"/>
    <w:rsid w:val="009467AA"/>
    <w:rsid w:val="00946F36"/>
    <w:rsid w:val="00947252"/>
    <w:rsid w:val="00947B4A"/>
    <w:rsid w:val="00947E73"/>
    <w:rsid w:val="00947F46"/>
    <w:rsid w:val="00950F00"/>
    <w:rsid w:val="00951022"/>
    <w:rsid w:val="0095120F"/>
    <w:rsid w:val="009515C0"/>
    <w:rsid w:val="009516FD"/>
    <w:rsid w:val="00951AD9"/>
    <w:rsid w:val="00952034"/>
    <w:rsid w:val="009524AF"/>
    <w:rsid w:val="00952B74"/>
    <w:rsid w:val="00952BF5"/>
    <w:rsid w:val="0095325C"/>
    <w:rsid w:val="00953920"/>
    <w:rsid w:val="00954D58"/>
    <w:rsid w:val="00954ECC"/>
    <w:rsid w:val="00957314"/>
    <w:rsid w:val="0095775D"/>
    <w:rsid w:val="009577D4"/>
    <w:rsid w:val="00957994"/>
    <w:rsid w:val="00957AF9"/>
    <w:rsid w:val="00957B30"/>
    <w:rsid w:val="00957E44"/>
    <w:rsid w:val="009601C1"/>
    <w:rsid w:val="00960B24"/>
    <w:rsid w:val="00960DF0"/>
    <w:rsid w:val="00961458"/>
    <w:rsid w:val="009622D5"/>
    <w:rsid w:val="009623B2"/>
    <w:rsid w:val="00963B57"/>
    <w:rsid w:val="00963BED"/>
    <w:rsid w:val="00963F9C"/>
    <w:rsid w:val="009640FF"/>
    <w:rsid w:val="00964170"/>
    <w:rsid w:val="0096446C"/>
    <w:rsid w:val="00964A17"/>
    <w:rsid w:val="009651C3"/>
    <w:rsid w:val="00965C20"/>
    <w:rsid w:val="009665B1"/>
    <w:rsid w:val="00966BB0"/>
    <w:rsid w:val="00966FB8"/>
    <w:rsid w:val="009705BC"/>
    <w:rsid w:val="00970C6D"/>
    <w:rsid w:val="00971BE1"/>
    <w:rsid w:val="00972543"/>
    <w:rsid w:val="00972776"/>
    <w:rsid w:val="00973068"/>
    <w:rsid w:val="00973CCF"/>
    <w:rsid w:val="00973EBE"/>
    <w:rsid w:val="00974040"/>
    <w:rsid w:val="009748EF"/>
    <w:rsid w:val="0097514D"/>
    <w:rsid w:val="009757E1"/>
    <w:rsid w:val="0097581D"/>
    <w:rsid w:val="009759F1"/>
    <w:rsid w:val="009761FA"/>
    <w:rsid w:val="009767B1"/>
    <w:rsid w:val="00976A4F"/>
    <w:rsid w:val="00976FBA"/>
    <w:rsid w:val="009773D0"/>
    <w:rsid w:val="0097781B"/>
    <w:rsid w:val="0098136F"/>
    <w:rsid w:val="00981710"/>
    <w:rsid w:val="00981CE7"/>
    <w:rsid w:val="009827AB"/>
    <w:rsid w:val="009829C9"/>
    <w:rsid w:val="00982D0F"/>
    <w:rsid w:val="00982D5F"/>
    <w:rsid w:val="00984815"/>
    <w:rsid w:val="00984BEF"/>
    <w:rsid w:val="00986388"/>
    <w:rsid w:val="009866A3"/>
    <w:rsid w:val="00986A76"/>
    <w:rsid w:val="00986DB7"/>
    <w:rsid w:val="009878D2"/>
    <w:rsid w:val="00987A5C"/>
    <w:rsid w:val="0099083C"/>
    <w:rsid w:val="0099188A"/>
    <w:rsid w:val="009920BF"/>
    <w:rsid w:val="009924B4"/>
    <w:rsid w:val="00992530"/>
    <w:rsid w:val="00992B52"/>
    <w:rsid w:val="00992EF0"/>
    <w:rsid w:val="009935BA"/>
    <w:rsid w:val="00994852"/>
    <w:rsid w:val="00994C74"/>
    <w:rsid w:val="00994D8F"/>
    <w:rsid w:val="00995010"/>
    <w:rsid w:val="00995576"/>
    <w:rsid w:val="00996384"/>
    <w:rsid w:val="00996F90"/>
    <w:rsid w:val="00997555"/>
    <w:rsid w:val="009A0218"/>
    <w:rsid w:val="009A0D9F"/>
    <w:rsid w:val="009A145E"/>
    <w:rsid w:val="009A1CD4"/>
    <w:rsid w:val="009A1FE9"/>
    <w:rsid w:val="009A2BF4"/>
    <w:rsid w:val="009A30B5"/>
    <w:rsid w:val="009A385C"/>
    <w:rsid w:val="009A3DDC"/>
    <w:rsid w:val="009A4530"/>
    <w:rsid w:val="009A4B35"/>
    <w:rsid w:val="009A4BEE"/>
    <w:rsid w:val="009A51E4"/>
    <w:rsid w:val="009A6024"/>
    <w:rsid w:val="009A6225"/>
    <w:rsid w:val="009A6F5B"/>
    <w:rsid w:val="009A6F84"/>
    <w:rsid w:val="009A73B6"/>
    <w:rsid w:val="009B045D"/>
    <w:rsid w:val="009B0860"/>
    <w:rsid w:val="009B1027"/>
    <w:rsid w:val="009B259B"/>
    <w:rsid w:val="009B2BF7"/>
    <w:rsid w:val="009B2E6D"/>
    <w:rsid w:val="009B2F74"/>
    <w:rsid w:val="009B2F80"/>
    <w:rsid w:val="009B33EF"/>
    <w:rsid w:val="009B3749"/>
    <w:rsid w:val="009B3A85"/>
    <w:rsid w:val="009B3C6A"/>
    <w:rsid w:val="009B4634"/>
    <w:rsid w:val="009B494A"/>
    <w:rsid w:val="009B4AB9"/>
    <w:rsid w:val="009B58E6"/>
    <w:rsid w:val="009B66A0"/>
    <w:rsid w:val="009B6D4A"/>
    <w:rsid w:val="009B7AA5"/>
    <w:rsid w:val="009B7CE1"/>
    <w:rsid w:val="009B7EC4"/>
    <w:rsid w:val="009C0EA4"/>
    <w:rsid w:val="009C1055"/>
    <w:rsid w:val="009C10CF"/>
    <w:rsid w:val="009C2935"/>
    <w:rsid w:val="009C32B2"/>
    <w:rsid w:val="009C35EA"/>
    <w:rsid w:val="009C42FC"/>
    <w:rsid w:val="009C4C0E"/>
    <w:rsid w:val="009C4E63"/>
    <w:rsid w:val="009C53C9"/>
    <w:rsid w:val="009C5959"/>
    <w:rsid w:val="009C6D9E"/>
    <w:rsid w:val="009C75AA"/>
    <w:rsid w:val="009C7B33"/>
    <w:rsid w:val="009D08D1"/>
    <w:rsid w:val="009D1095"/>
    <w:rsid w:val="009D125F"/>
    <w:rsid w:val="009D13BA"/>
    <w:rsid w:val="009D1BBD"/>
    <w:rsid w:val="009D235C"/>
    <w:rsid w:val="009D2432"/>
    <w:rsid w:val="009D258C"/>
    <w:rsid w:val="009D34E2"/>
    <w:rsid w:val="009D5803"/>
    <w:rsid w:val="009D775B"/>
    <w:rsid w:val="009E0D68"/>
    <w:rsid w:val="009E3E0E"/>
    <w:rsid w:val="009E4360"/>
    <w:rsid w:val="009E4482"/>
    <w:rsid w:val="009E4BEA"/>
    <w:rsid w:val="009E5E2F"/>
    <w:rsid w:val="009E67A1"/>
    <w:rsid w:val="009E6E2F"/>
    <w:rsid w:val="009E73FE"/>
    <w:rsid w:val="009E7CCD"/>
    <w:rsid w:val="009F0B99"/>
    <w:rsid w:val="009F0C04"/>
    <w:rsid w:val="009F278F"/>
    <w:rsid w:val="009F2819"/>
    <w:rsid w:val="009F2926"/>
    <w:rsid w:val="009F2DC9"/>
    <w:rsid w:val="009F2F5C"/>
    <w:rsid w:val="009F35D7"/>
    <w:rsid w:val="009F37CA"/>
    <w:rsid w:val="009F3825"/>
    <w:rsid w:val="009F3BDC"/>
    <w:rsid w:val="009F4CAE"/>
    <w:rsid w:val="009F5277"/>
    <w:rsid w:val="009F6AD9"/>
    <w:rsid w:val="009F715D"/>
    <w:rsid w:val="009F7B6B"/>
    <w:rsid w:val="00A00A3A"/>
    <w:rsid w:val="00A0101C"/>
    <w:rsid w:val="00A01042"/>
    <w:rsid w:val="00A0106D"/>
    <w:rsid w:val="00A01D00"/>
    <w:rsid w:val="00A01FA0"/>
    <w:rsid w:val="00A026C3"/>
    <w:rsid w:val="00A03102"/>
    <w:rsid w:val="00A03460"/>
    <w:rsid w:val="00A053A1"/>
    <w:rsid w:val="00A05945"/>
    <w:rsid w:val="00A063E8"/>
    <w:rsid w:val="00A0652C"/>
    <w:rsid w:val="00A06CA2"/>
    <w:rsid w:val="00A075DA"/>
    <w:rsid w:val="00A07B59"/>
    <w:rsid w:val="00A10970"/>
    <w:rsid w:val="00A10B36"/>
    <w:rsid w:val="00A10BEC"/>
    <w:rsid w:val="00A11021"/>
    <w:rsid w:val="00A110A7"/>
    <w:rsid w:val="00A12110"/>
    <w:rsid w:val="00A1241D"/>
    <w:rsid w:val="00A133E3"/>
    <w:rsid w:val="00A150F2"/>
    <w:rsid w:val="00A1513E"/>
    <w:rsid w:val="00A15350"/>
    <w:rsid w:val="00A15710"/>
    <w:rsid w:val="00A15795"/>
    <w:rsid w:val="00A15A81"/>
    <w:rsid w:val="00A16A56"/>
    <w:rsid w:val="00A16AE3"/>
    <w:rsid w:val="00A1771B"/>
    <w:rsid w:val="00A17D97"/>
    <w:rsid w:val="00A20397"/>
    <w:rsid w:val="00A20BFF"/>
    <w:rsid w:val="00A20FBE"/>
    <w:rsid w:val="00A21016"/>
    <w:rsid w:val="00A214EC"/>
    <w:rsid w:val="00A218D5"/>
    <w:rsid w:val="00A22052"/>
    <w:rsid w:val="00A2231F"/>
    <w:rsid w:val="00A238E3"/>
    <w:rsid w:val="00A239F0"/>
    <w:rsid w:val="00A240C4"/>
    <w:rsid w:val="00A24641"/>
    <w:rsid w:val="00A24E76"/>
    <w:rsid w:val="00A25049"/>
    <w:rsid w:val="00A25973"/>
    <w:rsid w:val="00A26DBD"/>
    <w:rsid w:val="00A26E0A"/>
    <w:rsid w:val="00A2729F"/>
    <w:rsid w:val="00A276A1"/>
    <w:rsid w:val="00A30148"/>
    <w:rsid w:val="00A302FE"/>
    <w:rsid w:val="00A30627"/>
    <w:rsid w:val="00A30B80"/>
    <w:rsid w:val="00A30BAD"/>
    <w:rsid w:val="00A30CDD"/>
    <w:rsid w:val="00A312B4"/>
    <w:rsid w:val="00A31556"/>
    <w:rsid w:val="00A3194D"/>
    <w:rsid w:val="00A3347A"/>
    <w:rsid w:val="00A33E70"/>
    <w:rsid w:val="00A341D0"/>
    <w:rsid w:val="00A343D3"/>
    <w:rsid w:val="00A346EA"/>
    <w:rsid w:val="00A35957"/>
    <w:rsid w:val="00A35F39"/>
    <w:rsid w:val="00A36459"/>
    <w:rsid w:val="00A36848"/>
    <w:rsid w:val="00A36F5E"/>
    <w:rsid w:val="00A407F6"/>
    <w:rsid w:val="00A41BBD"/>
    <w:rsid w:val="00A420E0"/>
    <w:rsid w:val="00A4242A"/>
    <w:rsid w:val="00A426A6"/>
    <w:rsid w:val="00A42DBE"/>
    <w:rsid w:val="00A42E52"/>
    <w:rsid w:val="00A42FC7"/>
    <w:rsid w:val="00A431C8"/>
    <w:rsid w:val="00A43AD1"/>
    <w:rsid w:val="00A43C2A"/>
    <w:rsid w:val="00A43CDB"/>
    <w:rsid w:val="00A44490"/>
    <w:rsid w:val="00A44AC8"/>
    <w:rsid w:val="00A46040"/>
    <w:rsid w:val="00A464B1"/>
    <w:rsid w:val="00A46A32"/>
    <w:rsid w:val="00A46F62"/>
    <w:rsid w:val="00A47411"/>
    <w:rsid w:val="00A477A3"/>
    <w:rsid w:val="00A4793A"/>
    <w:rsid w:val="00A50127"/>
    <w:rsid w:val="00A50836"/>
    <w:rsid w:val="00A50B2E"/>
    <w:rsid w:val="00A51480"/>
    <w:rsid w:val="00A52327"/>
    <w:rsid w:val="00A52B48"/>
    <w:rsid w:val="00A52CBE"/>
    <w:rsid w:val="00A53023"/>
    <w:rsid w:val="00A5438C"/>
    <w:rsid w:val="00A5489C"/>
    <w:rsid w:val="00A54FEE"/>
    <w:rsid w:val="00A55493"/>
    <w:rsid w:val="00A5604C"/>
    <w:rsid w:val="00A560F3"/>
    <w:rsid w:val="00A569F9"/>
    <w:rsid w:val="00A57A6B"/>
    <w:rsid w:val="00A57BFA"/>
    <w:rsid w:val="00A57C4D"/>
    <w:rsid w:val="00A57F31"/>
    <w:rsid w:val="00A6056D"/>
    <w:rsid w:val="00A608EB"/>
    <w:rsid w:val="00A60BFC"/>
    <w:rsid w:val="00A60DB0"/>
    <w:rsid w:val="00A61090"/>
    <w:rsid w:val="00A611DC"/>
    <w:rsid w:val="00A620A2"/>
    <w:rsid w:val="00A6275B"/>
    <w:rsid w:val="00A62E2D"/>
    <w:rsid w:val="00A6376C"/>
    <w:rsid w:val="00A637A7"/>
    <w:rsid w:val="00A64177"/>
    <w:rsid w:val="00A64277"/>
    <w:rsid w:val="00A6437D"/>
    <w:rsid w:val="00A64A7C"/>
    <w:rsid w:val="00A64FBB"/>
    <w:rsid w:val="00A657BC"/>
    <w:rsid w:val="00A65862"/>
    <w:rsid w:val="00A6626C"/>
    <w:rsid w:val="00A669FF"/>
    <w:rsid w:val="00A677EB"/>
    <w:rsid w:val="00A67976"/>
    <w:rsid w:val="00A70514"/>
    <w:rsid w:val="00A70995"/>
    <w:rsid w:val="00A7165A"/>
    <w:rsid w:val="00A7186E"/>
    <w:rsid w:val="00A7255E"/>
    <w:rsid w:val="00A72924"/>
    <w:rsid w:val="00A73C1C"/>
    <w:rsid w:val="00A750EB"/>
    <w:rsid w:val="00A760F6"/>
    <w:rsid w:val="00A7677C"/>
    <w:rsid w:val="00A76B06"/>
    <w:rsid w:val="00A76F03"/>
    <w:rsid w:val="00A772D8"/>
    <w:rsid w:val="00A805C7"/>
    <w:rsid w:val="00A80BFF"/>
    <w:rsid w:val="00A8183B"/>
    <w:rsid w:val="00A819A4"/>
    <w:rsid w:val="00A8271D"/>
    <w:rsid w:val="00A830F6"/>
    <w:rsid w:val="00A83781"/>
    <w:rsid w:val="00A83DFC"/>
    <w:rsid w:val="00A85594"/>
    <w:rsid w:val="00A855C8"/>
    <w:rsid w:val="00A85750"/>
    <w:rsid w:val="00A8770C"/>
    <w:rsid w:val="00A90169"/>
    <w:rsid w:val="00A90B05"/>
    <w:rsid w:val="00A913CB"/>
    <w:rsid w:val="00A91740"/>
    <w:rsid w:val="00A91DDD"/>
    <w:rsid w:val="00A92118"/>
    <w:rsid w:val="00A92148"/>
    <w:rsid w:val="00A922E2"/>
    <w:rsid w:val="00A92692"/>
    <w:rsid w:val="00A9313E"/>
    <w:rsid w:val="00A93B0B"/>
    <w:rsid w:val="00A94067"/>
    <w:rsid w:val="00A946D1"/>
    <w:rsid w:val="00A94917"/>
    <w:rsid w:val="00A95DFB"/>
    <w:rsid w:val="00A96712"/>
    <w:rsid w:val="00A969EA"/>
    <w:rsid w:val="00A96E64"/>
    <w:rsid w:val="00A97315"/>
    <w:rsid w:val="00A976BC"/>
    <w:rsid w:val="00A9770E"/>
    <w:rsid w:val="00AA14C5"/>
    <w:rsid w:val="00AA157E"/>
    <w:rsid w:val="00AA17B9"/>
    <w:rsid w:val="00AA1A9A"/>
    <w:rsid w:val="00AA2252"/>
    <w:rsid w:val="00AA2609"/>
    <w:rsid w:val="00AA286D"/>
    <w:rsid w:val="00AA2FA4"/>
    <w:rsid w:val="00AA31BC"/>
    <w:rsid w:val="00AA470E"/>
    <w:rsid w:val="00AA6228"/>
    <w:rsid w:val="00AA67FA"/>
    <w:rsid w:val="00AA6D65"/>
    <w:rsid w:val="00AA6E64"/>
    <w:rsid w:val="00AB07D6"/>
    <w:rsid w:val="00AB107F"/>
    <w:rsid w:val="00AB11AA"/>
    <w:rsid w:val="00AB14CA"/>
    <w:rsid w:val="00AB1EA4"/>
    <w:rsid w:val="00AB2429"/>
    <w:rsid w:val="00AB3066"/>
    <w:rsid w:val="00AB3627"/>
    <w:rsid w:val="00AB408D"/>
    <w:rsid w:val="00AB45B8"/>
    <w:rsid w:val="00AB468C"/>
    <w:rsid w:val="00AB598E"/>
    <w:rsid w:val="00AB5B39"/>
    <w:rsid w:val="00AB68D3"/>
    <w:rsid w:val="00AB6A6E"/>
    <w:rsid w:val="00AB6E99"/>
    <w:rsid w:val="00AB74B6"/>
    <w:rsid w:val="00AB7533"/>
    <w:rsid w:val="00AB7C1C"/>
    <w:rsid w:val="00AC06B8"/>
    <w:rsid w:val="00AC24BA"/>
    <w:rsid w:val="00AC3B0D"/>
    <w:rsid w:val="00AC3D54"/>
    <w:rsid w:val="00AC401C"/>
    <w:rsid w:val="00AC48AA"/>
    <w:rsid w:val="00AC48B4"/>
    <w:rsid w:val="00AC4E3A"/>
    <w:rsid w:val="00AC50E8"/>
    <w:rsid w:val="00AC5CD9"/>
    <w:rsid w:val="00AC6390"/>
    <w:rsid w:val="00AC696F"/>
    <w:rsid w:val="00AC7880"/>
    <w:rsid w:val="00AC7F11"/>
    <w:rsid w:val="00AD007A"/>
    <w:rsid w:val="00AD0312"/>
    <w:rsid w:val="00AD142A"/>
    <w:rsid w:val="00AD17CE"/>
    <w:rsid w:val="00AD1D24"/>
    <w:rsid w:val="00AD22D6"/>
    <w:rsid w:val="00AD27EA"/>
    <w:rsid w:val="00AD3225"/>
    <w:rsid w:val="00AD3859"/>
    <w:rsid w:val="00AD3EFE"/>
    <w:rsid w:val="00AD471C"/>
    <w:rsid w:val="00AD47DD"/>
    <w:rsid w:val="00AD4DEF"/>
    <w:rsid w:val="00AD5A82"/>
    <w:rsid w:val="00AD5C41"/>
    <w:rsid w:val="00AD6B59"/>
    <w:rsid w:val="00AD6D2C"/>
    <w:rsid w:val="00AD7233"/>
    <w:rsid w:val="00AE003C"/>
    <w:rsid w:val="00AE072B"/>
    <w:rsid w:val="00AE0909"/>
    <w:rsid w:val="00AE0EAA"/>
    <w:rsid w:val="00AE0FAF"/>
    <w:rsid w:val="00AE10A5"/>
    <w:rsid w:val="00AE1565"/>
    <w:rsid w:val="00AE1D1D"/>
    <w:rsid w:val="00AE202D"/>
    <w:rsid w:val="00AE31A3"/>
    <w:rsid w:val="00AE4BAE"/>
    <w:rsid w:val="00AE5099"/>
    <w:rsid w:val="00AE528A"/>
    <w:rsid w:val="00AE56E9"/>
    <w:rsid w:val="00AE6564"/>
    <w:rsid w:val="00AE6650"/>
    <w:rsid w:val="00AE720D"/>
    <w:rsid w:val="00AE77C6"/>
    <w:rsid w:val="00AE7E38"/>
    <w:rsid w:val="00AE7ED3"/>
    <w:rsid w:val="00AF20AF"/>
    <w:rsid w:val="00AF24EE"/>
    <w:rsid w:val="00AF3901"/>
    <w:rsid w:val="00AF3A21"/>
    <w:rsid w:val="00AF4941"/>
    <w:rsid w:val="00AF5C86"/>
    <w:rsid w:val="00AF6CD4"/>
    <w:rsid w:val="00AF79A2"/>
    <w:rsid w:val="00B005B8"/>
    <w:rsid w:val="00B00AA5"/>
    <w:rsid w:val="00B01B6C"/>
    <w:rsid w:val="00B020D8"/>
    <w:rsid w:val="00B020FD"/>
    <w:rsid w:val="00B02359"/>
    <w:rsid w:val="00B029A2"/>
    <w:rsid w:val="00B02AB8"/>
    <w:rsid w:val="00B0480B"/>
    <w:rsid w:val="00B04BAE"/>
    <w:rsid w:val="00B04FE9"/>
    <w:rsid w:val="00B05323"/>
    <w:rsid w:val="00B054BE"/>
    <w:rsid w:val="00B0597C"/>
    <w:rsid w:val="00B06EFD"/>
    <w:rsid w:val="00B0738B"/>
    <w:rsid w:val="00B11832"/>
    <w:rsid w:val="00B11938"/>
    <w:rsid w:val="00B11FCF"/>
    <w:rsid w:val="00B138B4"/>
    <w:rsid w:val="00B13A57"/>
    <w:rsid w:val="00B13D42"/>
    <w:rsid w:val="00B13E94"/>
    <w:rsid w:val="00B146B7"/>
    <w:rsid w:val="00B14E11"/>
    <w:rsid w:val="00B169BB"/>
    <w:rsid w:val="00B16A71"/>
    <w:rsid w:val="00B17545"/>
    <w:rsid w:val="00B17F4C"/>
    <w:rsid w:val="00B20162"/>
    <w:rsid w:val="00B204BB"/>
    <w:rsid w:val="00B21109"/>
    <w:rsid w:val="00B2231D"/>
    <w:rsid w:val="00B226F4"/>
    <w:rsid w:val="00B22BA3"/>
    <w:rsid w:val="00B22FF0"/>
    <w:rsid w:val="00B23CA3"/>
    <w:rsid w:val="00B2577D"/>
    <w:rsid w:val="00B26047"/>
    <w:rsid w:val="00B26213"/>
    <w:rsid w:val="00B2643E"/>
    <w:rsid w:val="00B27E6E"/>
    <w:rsid w:val="00B31762"/>
    <w:rsid w:val="00B323E1"/>
    <w:rsid w:val="00B32A01"/>
    <w:rsid w:val="00B33AA9"/>
    <w:rsid w:val="00B33D65"/>
    <w:rsid w:val="00B341B7"/>
    <w:rsid w:val="00B348FC"/>
    <w:rsid w:val="00B3493E"/>
    <w:rsid w:val="00B34A3F"/>
    <w:rsid w:val="00B34F5A"/>
    <w:rsid w:val="00B34F8B"/>
    <w:rsid w:val="00B35928"/>
    <w:rsid w:val="00B365B7"/>
    <w:rsid w:val="00B36A88"/>
    <w:rsid w:val="00B36BCB"/>
    <w:rsid w:val="00B36FF7"/>
    <w:rsid w:val="00B37AE2"/>
    <w:rsid w:val="00B404A3"/>
    <w:rsid w:val="00B40ADB"/>
    <w:rsid w:val="00B40B50"/>
    <w:rsid w:val="00B419C8"/>
    <w:rsid w:val="00B41B3F"/>
    <w:rsid w:val="00B42686"/>
    <w:rsid w:val="00B428D6"/>
    <w:rsid w:val="00B429E2"/>
    <w:rsid w:val="00B42D30"/>
    <w:rsid w:val="00B439F9"/>
    <w:rsid w:val="00B449D3"/>
    <w:rsid w:val="00B45D19"/>
    <w:rsid w:val="00B46212"/>
    <w:rsid w:val="00B46425"/>
    <w:rsid w:val="00B46703"/>
    <w:rsid w:val="00B46B81"/>
    <w:rsid w:val="00B46ECD"/>
    <w:rsid w:val="00B479D3"/>
    <w:rsid w:val="00B47E6D"/>
    <w:rsid w:val="00B511AD"/>
    <w:rsid w:val="00B511FD"/>
    <w:rsid w:val="00B51270"/>
    <w:rsid w:val="00B518CE"/>
    <w:rsid w:val="00B52163"/>
    <w:rsid w:val="00B53633"/>
    <w:rsid w:val="00B53C24"/>
    <w:rsid w:val="00B5465C"/>
    <w:rsid w:val="00B54B38"/>
    <w:rsid w:val="00B54D80"/>
    <w:rsid w:val="00B5638D"/>
    <w:rsid w:val="00B56629"/>
    <w:rsid w:val="00B56EDB"/>
    <w:rsid w:val="00B571C5"/>
    <w:rsid w:val="00B57CDC"/>
    <w:rsid w:val="00B60730"/>
    <w:rsid w:val="00B60CAD"/>
    <w:rsid w:val="00B6144F"/>
    <w:rsid w:val="00B618CB"/>
    <w:rsid w:val="00B61B5B"/>
    <w:rsid w:val="00B62FFF"/>
    <w:rsid w:val="00B63074"/>
    <w:rsid w:val="00B632E7"/>
    <w:rsid w:val="00B635C7"/>
    <w:rsid w:val="00B63ECC"/>
    <w:rsid w:val="00B64A3E"/>
    <w:rsid w:val="00B64BDE"/>
    <w:rsid w:val="00B66588"/>
    <w:rsid w:val="00B675DA"/>
    <w:rsid w:val="00B71A04"/>
    <w:rsid w:val="00B71C45"/>
    <w:rsid w:val="00B71CF0"/>
    <w:rsid w:val="00B73D77"/>
    <w:rsid w:val="00B74305"/>
    <w:rsid w:val="00B74500"/>
    <w:rsid w:val="00B74E4B"/>
    <w:rsid w:val="00B75702"/>
    <w:rsid w:val="00B776D4"/>
    <w:rsid w:val="00B778A6"/>
    <w:rsid w:val="00B8007E"/>
    <w:rsid w:val="00B804A9"/>
    <w:rsid w:val="00B80A82"/>
    <w:rsid w:val="00B80CF4"/>
    <w:rsid w:val="00B80DF0"/>
    <w:rsid w:val="00B81A49"/>
    <w:rsid w:val="00B81E36"/>
    <w:rsid w:val="00B82451"/>
    <w:rsid w:val="00B82B6E"/>
    <w:rsid w:val="00B8341F"/>
    <w:rsid w:val="00B83680"/>
    <w:rsid w:val="00B85024"/>
    <w:rsid w:val="00B85509"/>
    <w:rsid w:val="00B85937"/>
    <w:rsid w:val="00B859A6"/>
    <w:rsid w:val="00B85C81"/>
    <w:rsid w:val="00B85C99"/>
    <w:rsid w:val="00B85D0F"/>
    <w:rsid w:val="00B86691"/>
    <w:rsid w:val="00B87697"/>
    <w:rsid w:val="00B876CF"/>
    <w:rsid w:val="00B90786"/>
    <w:rsid w:val="00B91AA4"/>
    <w:rsid w:val="00B92245"/>
    <w:rsid w:val="00B93F9A"/>
    <w:rsid w:val="00B93FB2"/>
    <w:rsid w:val="00B949A0"/>
    <w:rsid w:val="00B94EDD"/>
    <w:rsid w:val="00B9500C"/>
    <w:rsid w:val="00B95249"/>
    <w:rsid w:val="00B95370"/>
    <w:rsid w:val="00B9543B"/>
    <w:rsid w:val="00B96189"/>
    <w:rsid w:val="00B96674"/>
    <w:rsid w:val="00B96861"/>
    <w:rsid w:val="00B96F27"/>
    <w:rsid w:val="00B97035"/>
    <w:rsid w:val="00BA0162"/>
    <w:rsid w:val="00BA0226"/>
    <w:rsid w:val="00BA143F"/>
    <w:rsid w:val="00BA2F32"/>
    <w:rsid w:val="00BA34B3"/>
    <w:rsid w:val="00BA3A9F"/>
    <w:rsid w:val="00BA3D5B"/>
    <w:rsid w:val="00BA5084"/>
    <w:rsid w:val="00BA6507"/>
    <w:rsid w:val="00BA6905"/>
    <w:rsid w:val="00BB03C9"/>
    <w:rsid w:val="00BB28F6"/>
    <w:rsid w:val="00BB459F"/>
    <w:rsid w:val="00BB5290"/>
    <w:rsid w:val="00BB5D6A"/>
    <w:rsid w:val="00BB63D7"/>
    <w:rsid w:val="00BB641A"/>
    <w:rsid w:val="00BB6506"/>
    <w:rsid w:val="00BB67B4"/>
    <w:rsid w:val="00BB6877"/>
    <w:rsid w:val="00BB6C03"/>
    <w:rsid w:val="00BB6C86"/>
    <w:rsid w:val="00BB745D"/>
    <w:rsid w:val="00BB78C5"/>
    <w:rsid w:val="00BC04B0"/>
    <w:rsid w:val="00BC06B5"/>
    <w:rsid w:val="00BC0B3E"/>
    <w:rsid w:val="00BC0E50"/>
    <w:rsid w:val="00BC132F"/>
    <w:rsid w:val="00BC1BBB"/>
    <w:rsid w:val="00BC23EE"/>
    <w:rsid w:val="00BC27A2"/>
    <w:rsid w:val="00BC2A3D"/>
    <w:rsid w:val="00BC2DA2"/>
    <w:rsid w:val="00BC3B0B"/>
    <w:rsid w:val="00BC43FB"/>
    <w:rsid w:val="00BC497A"/>
    <w:rsid w:val="00BC4CF6"/>
    <w:rsid w:val="00BC4D9C"/>
    <w:rsid w:val="00BC50D4"/>
    <w:rsid w:val="00BC6512"/>
    <w:rsid w:val="00BC671F"/>
    <w:rsid w:val="00BC6B0C"/>
    <w:rsid w:val="00BD0030"/>
    <w:rsid w:val="00BD036D"/>
    <w:rsid w:val="00BD0765"/>
    <w:rsid w:val="00BD0D92"/>
    <w:rsid w:val="00BD0DF6"/>
    <w:rsid w:val="00BD0F8A"/>
    <w:rsid w:val="00BD23D2"/>
    <w:rsid w:val="00BD25F4"/>
    <w:rsid w:val="00BD3873"/>
    <w:rsid w:val="00BD412F"/>
    <w:rsid w:val="00BD4986"/>
    <w:rsid w:val="00BD52DC"/>
    <w:rsid w:val="00BD57BF"/>
    <w:rsid w:val="00BD5F13"/>
    <w:rsid w:val="00BD6043"/>
    <w:rsid w:val="00BD6529"/>
    <w:rsid w:val="00BD67A2"/>
    <w:rsid w:val="00BD68D6"/>
    <w:rsid w:val="00BE03B9"/>
    <w:rsid w:val="00BE0A12"/>
    <w:rsid w:val="00BE1264"/>
    <w:rsid w:val="00BE1332"/>
    <w:rsid w:val="00BE15D6"/>
    <w:rsid w:val="00BE1616"/>
    <w:rsid w:val="00BE1C97"/>
    <w:rsid w:val="00BE1D35"/>
    <w:rsid w:val="00BE24C4"/>
    <w:rsid w:val="00BE3B51"/>
    <w:rsid w:val="00BE3C56"/>
    <w:rsid w:val="00BE3DF9"/>
    <w:rsid w:val="00BE428E"/>
    <w:rsid w:val="00BE43E0"/>
    <w:rsid w:val="00BE4860"/>
    <w:rsid w:val="00BE4ACA"/>
    <w:rsid w:val="00BE5006"/>
    <w:rsid w:val="00BE59BF"/>
    <w:rsid w:val="00BF0056"/>
    <w:rsid w:val="00BF0099"/>
    <w:rsid w:val="00BF0516"/>
    <w:rsid w:val="00BF14A4"/>
    <w:rsid w:val="00BF176A"/>
    <w:rsid w:val="00BF1894"/>
    <w:rsid w:val="00BF2037"/>
    <w:rsid w:val="00BF29DE"/>
    <w:rsid w:val="00BF3816"/>
    <w:rsid w:val="00BF4AF8"/>
    <w:rsid w:val="00BF52DC"/>
    <w:rsid w:val="00BF5746"/>
    <w:rsid w:val="00BF5AF0"/>
    <w:rsid w:val="00BF5EEF"/>
    <w:rsid w:val="00BF5F1E"/>
    <w:rsid w:val="00BF6167"/>
    <w:rsid w:val="00BF691E"/>
    <w:rsid w:val="00BF7B3D"/>
    <w:rsid w:val="00BF7CF9"/>
    <w:rsid w:val="00BF7CFB"/>
    <w:rsid w:val="00BF7DFE"/>
    <w:rsid w:val="00C00869"/>
    <w:rsid w:val="00C00BA0"/>
    <w:rsid w:val="00C00CB5"/>
    <w:rsid w:val="00C01080"/>
    <w:rsid w:val="00C01503"/>
    <w:rsid w:val="00C017F9"/>
    <w:rsid w:val="00C017FE"/>
    <w:rsid w:val="00C022C8"/>
    <w:rsid w:val="00C02676"/>
    <w:rsid w:val="00C02691"/>
    <w:rsid w:val="00C029C2"/>
    <w:rsid w:val="00C029CC"/>
    <w:rsid w:val="00C03188"/>
    <w:rsid w:val="00C03908"/>
    <w:rsid w:val="00C03B9A"/>
    <w:rsid w:val="00C03C9D"/>
    <w:rsid w:val="00C04237"/>
    <w:rsid w:val="00C042EE"/>
    <w:rsid w:val="00C0440D"/>
    <w:rsid w:val="00C0442E"/>
    <w:rsid w:val="00C057DF"/>
    <w:rsid w:val="00C05800"/>
    <w:rsid w:val="00C05D59"/>
    <w:rsid w:val="00C06358"/>
    <w:rsid w:val="00C06375"/>
    <w:rsid w:val="00C06793"/>
    <w:rsid w:val="00C06B19"/>
    <w:rsid w:val="00C10BE1"/>
    <w:rsid w:val="00C11367"/>
    <w:rsid w:val="00C1179F"/>
    <w:rsid w:val="00C128B0"/>
    <w:rsid w:val="00C12ECD"/>
    <w:rsid w:val="00C13014"/>
    <w:rsid w:val="00C14B4D"/>
    <w:rsid w:val="00C156C8"/>
    <w:rsid w:val="00C15C7B"/>
    <w:rsid w:val="00C163D1"/>
    <w:rsid w:val="00C20482"/>
    <w:rsid w:val="00C206B6"/>
    <w:rsid w:val="00C2097C"/>
    <w:rsid w:val="00C218FC"/>
    <w:rsid w:val="00C21B59"/>
    <w:rsid w:val="00C21C83"/>
    <w:rsid w:val="00C234C6"/>
    <w:rsid w:val="00C23A3D"/>
    <w:rsid w:val="00C23A93"/>
    <w:rsid w:val="00C23E82"/>
    <w:rsid w:val="00C2402B"/>
    <w:rsid w:val="00C2464A"/>
    <w:rsid w:val="00C2522C"/>
    <w:rsid w:val="00C259E8"/>
    <w:rsid w:val="00C25AFF"/>
    <w:rsid w:val="00C27945"/>
    <w:rsid w:val="00C27A91"/>
    <w:rsid w:val="00C27DE1"/>
    <w:rsid w:val="00C305F7"/>
    <w:rsid w:val="00C31A90"/>
    <w:rsid w:val="00C31FFA"/>
    <w:rsid w:val="00C32895"/>
    <w:rsid w:val="00C329F7"/>
    <w:rsid w:val="00C32AA5"/>
    <w:rsid w:val="00C34469"/>
    <w:rsid w:val="00C34583"/>
    <w:rsid w:val="00C346D5"/>
    <w:rsid w:val="00C34B89"/>
    <w:rsid w:val="00C34DF5"/>
    <w:rsid w:val="00C34F31"/>
    <w:rsid w:val="00C35ED7"/>
    <w:rsid w:val="00C3641D"/>
    <w:rsid w:val="00C36B61"/>
    <w:rsid w:val="00C375F7"/>
    <w:rsid w:val="00C37784"/>
    <w:rsid w:val="00C401E4"/>
    <w:rsid w:val="00C40897"/>
    <w:rsid w:val="00C412C1"/>
    <w:rsid w:val="00C4136A"/>
    <w:rsid w:val="00C41566"/>
    <w:rsid w:val="00C41610"/>
    <w:rsid w:val="00C41791"/>
    <w:rsid w:val="00C41EF8"/>
    <w:rsid w:val="00C42D46"/>
    <w:rsid w:val="00C43DB6"/>
    <w:rsid w:val="00C447FF"/>
    <w:rsid w:val="00C44899"/>
    <w:rsid w:val="00C45263"/>
    <w:rsid w:val="00C4565B"/>
    <w:rsid w:val="00C47321"/>
    <w:rsid w:val="00C47DF1"/>
    <w:rsid w:val="00C47FD8"/>
    <w:rsid w:val="00C5023A"/>
    <w:rsid w:val="00C502ED"/>
    <w:rsid w:val="00C50BAD"/>
    <w:rsid w:val="00C51572"/>
    <w:rsid w:val="00C51ABD"/>
    <w:rsid w:val="00C521B7"/>
    <w:rsid w:val="00C529DE"/>
    <w:rsid w:val="00C53AFB"/>
    <w:rsid w:val="00C53BCC"/>
    <w:rsid w:val="00C54663"/>
    <w:rsid w:val="00C549DA"/>
    <w:rsid w:val="00C5503C"/>
    <w:rsid w:val="00C55810"/>
    <w:rsid w:val="00C56774"/>
    <w:rsid w:val="00C56AB2"/>
    <w:rsid w:val="00C56D42"/>
    <w:rsid w:val="00C5766E"/>
    <w:rsid w:val="00C606E6"/>
    <w:rsid w:val="00C62873"/>
    <w:rsid w:val="00C62D96"/>
    <w:rsid w:val="00C62E65"/>
    <w:rsid w:val="00C62FF8"/>
    <w:rsid w:val="00C6320E"/>
    <w:rsid w:val="00C6331F"/>
    <w:rsid w:val="00C661BB"/>
    <w:rsid w:val="00C67082"/>
    <w:rsid w:val="00C7043D"/>
    <w:rsid w:val="00C70C8B"/>
    <w:rsid w:val="00C70DFF"/>
    <w:rsid w:val="00C71191"/>
    <w:rsid w:val="00C71B9C"/>
    <w:rsid w:val="00C71EED"/>
    <w:rsid w:val="00C722C6"/>
    <w:rsid w:val="00C72498"/>
    <w:rsid w:val="00C728A8"/>
    <w:rsid w:val="00C73479"/>
    <w:rsid w:val="00C74319"/>
    <w:rsid w:val="00C751D2"/>
    <w:rsid w:val="00C7525E"/>
    <w:rsid w:val="00C756AF"/>
    <w:rsid w:val="00C76110"/>
    <w:rsid w:val="00C76472"/>
    <w:rsid w:val="00C769AF"/>
    <w:rsid w:val="00C809CA"/>
    <w:rsid w:val="00C81921"/>
    <w:rsid w:val="00C84A18"/>
    <w:rsid w:val="00C84B56"/>
    <w:rsid w:val="00C8592F"/>
    <w:rsid w:val="00C85F06"/>
    <w:rsid w:val="00C8665D"/>
    <w:rsid w:val="00C868EF"/>
    <w:rsid w:val="00C87A0D"/>
    <w:rsid w:val="00C87E89"/>
    <w:rsid w:val="00C87F08"/>
    <w:rsid w:val="00C9030A"/>
    <w:rsid w:val="00C90514"/>
    <w:rsid w:val="00C90614"/>
    <w:rsid w:val="00C90647"/>
    <w:rsid w:val="00C90FBA"/>
    <w:rsid w:val="00C920A8"/>
    <w:rsid w:val="00C934AE"/>
    <w:rsid w:val="00C9387B"/>
    <w:rsid w:val="00C94940"/>
    <w:rsid w:val="00C94B41"/>
    <w:rsid w:val="00C94EB4"/>
    <w:rsid w:val="00C94F92"/>
    <w:rsid w:val="00C9612B"/>
    <w:rsid w:val="00C96B04"/>
    <w:rsid w:val="00C96D8B"/>
    <w:rsid w:val="00C96F4B"/>
    <w:rsid w:val="00C97600"/>
    <w:rsid w:val="00C97786"/>
    <w:rsid w:val="00C97DFD"/>
    <w:rsid w:val="00CA049B"/>
    <w:rsid w:val="00CA1A83"/>
    <w:rsid w:val="00CA223A"/>
    <w:rsid w:val="00CA26E7"/>
    <w:rsid w:val="00CA2EE8"/>
    <w:rsid w:val="00CA3EB0"/>
    <w:rsid w:val="00CA4824"/>
    <w:rsid w:val="00CA4EA4"/>
    <w:rsid w:val="00CA4F20"/>
    <w:rsid w:val="00CA52E0"/>
    <w:rsid w:val="00CA6418"/>
    <w:rsid w:val="00CA676B"/>
    <w:rsid w:val="00CA6EF5"/>
    <w:rsid w:val="00CA70B3"/>
    <w:rsid w:val="00CB0663"/>
    <w:rsid w:val="00CB06C8"/>
    <w:rsid w:val="00CB14AC"/>
    <w:rsid w:val="00CB1799"/>
    <w:rsid w:val="00CB18AD"/>
    <w:rsid w:val="00CB18C2"/>
    <w:rsid w:val="00CB1AD0"/>
    <w:rsid w:val="00CB2023"/>
    <w:rsid w:val="00CB2F13"/>
    <w:rsid w:val="00CB372F"/>
    <w:rsid w:val="00CB3D18"/>
    <w:rsid w:val="00CB3DCB"/>
    <w:rsid w:val="00CB4005"/>
    <w:rsid w:val="00CB4FF0"/>
    <w:rsid w:val="00CB50BD"/>
    <w:rsid w:val="00CB5CF4"/>
    <w:rsid w:val="00CB6502"/>
    <w:rsid w:val="00CB65E0"/>
    <w:rsid w:val="00CB73D4"/>
    <w:rsid w:val="00CB762E"/>
    <w:rsid w:val="00CB7BAF"/>
    <w:rsid w:val="00CB7E84"/>
    <w:rsid w:val="00CC0D8D"/>
    <w:rsid w:val="00CC0FA6"/>
    <w:rsid w:val="00CC0FF9"/>
    <w:rsid w:val="00CC10CA"/>
    <w:rsid w:val="00CC14E2"/>
    <w:rsid w:val="00CC168B"/>
    <w:rsid w:val="00CC1A72"/>
    <w:rsid w:val="00CC2713"/>
    <w:rsid w:val="00CC2828"/>
    <w:rsid w:val="00CC3575"/>
    <w:rsid w:val="00CC4A9A"/>
    <w:rsid w:val="00CC5482"/>
    <w:rsid w:val="00CC5C0A"/>
    <w:rsid w:val="00CC66B7"/>
    <w:rsid w:val="00CC6707"/>
    <w:rsid w:val="00CC6A30"/>
    <w:rsid w:val="00CC6FFC"/>
    <w:rsid w:val="00CC778B"/>
    <w:rsid w:val="00CD04BC"/>
    <w:rsid w:val="00CD05E1"/>
    <w:rsid w:val="00CD05FE"/>
    <w:rsid w:val="00CD083B"/>
    <w:rsid w:val="00CD18BF"/>
    <w:rsid w:val="00CD266E"/>
    <w:rsid w:val="00CD2995"/>
    <w:rsid w:val="00CD3171"/>
    <w:rsid w:val="00CD342D"/>
    <w:rsid w:val="00CD35A3"/>
    <w:rsid w:val="00CD36CE"/>
    <w:rsid w:val="00CD4067"/>
    <w:rsid w:val="00CD4398"/>
    <w:rsid w:val="00CD51C0"/>
    <w:rsid w:val="00CD5312"/>
    <w:rsid w:val="00CD5669"/>
    <w:rsid w:val="00CD57F8"/>
    <w:rsid w:val="00CD65CA"/>
    <w:rsid w:val="00CD6BB8"/>
    <w:rsid w:val="00CD6E05"/>
    <w:rsid w:val="00CD72C8"/>
    <w:rsid w:val="00CD7CC9"/>
    <w:rsid w:val="00CD7D69"/>
    <w:rsid w:val="00CE079F"/>
    <w:rsid w:val="00CE0B6A"/>
    <w:rsid w:val="00CE21A4"/>
    <w:rsid w:val="00CE2AAB"/>
    <w:rsid w:val="00CE2DC1"/>
    <w:rsid w:val="00CE3F20"/>
    <w:rsid w:val="00CE47F2"/>
    <w:rsid w:val="00CE4E74"/>
    <w:rsid w:val="00CE5000"/>
    <w:rsid w:val="00CE5621"/>
    <w:rsid w:val="00CE5FE9"/>
    <w:rsid w:val="00CE68C1"/>
    <w:rsid w:val="00CE6F34"/>
    <w:rsid w:val="00CE78A8"/>
    <w:rsid w:val="00CE7949"/>
    <w:rsid w:val="00CF09B4"/>
    <w:rsid w:val="00CF0BD6"/>
    <w:rsid w:val="00CF1C24"/>
    <w:rsid w:val="00CF1DCA"/>
    <w:rsid w:val="00CF33A4"/>
    <w:rsid w:val="00CF38BE"/>
    <w:rsid w:val="00CF3BD6"/>
    <w:rsid w:val="00CF3C57"/>
    <w:rsid w:val="00CF462B"/>
    <w:rsid w:val="00CF5E32"/>
    <w:rsid w:val="00CF5E6D"/>
    <w:rsid w:val="00CF623F"/>
    <w:rsid w:val="00CF656E"/>
    <w:rsid w:val="00CF777D"/>
    <w:rsid w:val="00CF793E"/>
    <w:rsid w:val="00CF7ED7"/>
    <w:rsid w:val="00D00762"/>
    <w:rsid w:val="00D007E3"/>
    <w:rsid w:val="00D0082C"/>
    <w:rsid w:val="00D013FC"/>
    <w:rsid w:val="00D0292A"/>
    <w:rsid w:val="00D03454"/>
    <w:rsid w:val="00D04159"/>
    <w:rsid w:val="00D041CD"/>
    <w:rsid w:val="00D04351"/>
    <w:rsid w:val="00D043DF"/>
    <w:rsid w:val="00D05300"/>
    <w:rsid w:val="00D05632"/>
    <w:rsid w:val="00D05827"/>
    <w:rsid w:val="00D059B8"/>
    <w:rsid w:val="00D06105"/>
    <w:rsid w:val="00D06B51"/>
    <w:rsid w:val="00D0742C"/>
    <w:rsid w:val="00D07D6A"/>
    <w:rsid w:val="00D10A47"/>
    <w:rsid w:val="00D10FE0"/>
    <w:rsid w:val="00D135CA"/>
    <w:rsid w:val="00D13D0F"/>
    <w:rsid w:val="00D13F44"/>
    <w:rsid w:val="00D14B50"/>
    <w:rsid w:val="00D14F04"/>
    <w:rsid w:val="00D159A3"/>
    <w:rsid w:val="00D15F76"/>
    <w:rsid w:val="00D162C7"/>
    <w:rsid w:val="00D1666E"/>
    <w:rsid w:val="00D16EB2"/>
    <w:rsid w:val="00D174BB"/>
    <w:rsid w:val="00D177FA"/>
    <w:rsid w:val="00D17C4B"/>
    <w:rsid w:val="00D20261"/>
    <w:rsid w:val="00D20863"/>
    <w:rsid w:val="00D20A99"/>
    <w:rsid w:val="00D20F0D"/>
    <w:rsid w:val="00D22D16"/>
    <w:rsid w:val="00D23D21"/>
    <w:rsid w:val="00D24519"/>
    <w:rsid w:val="00D2560D"/>
    <w:rsid w:val="00D268B1"/>
    <w:rsid w:val="00D27538"/>
    <w:rsid w:val="00D27619"/>
    <w:rsid w:val="00D2793F"/>
    <w:rsid w:val="00D27967"/>
    <w:rsid w:val="00D27CE6"/>
    <w:rsid w:val="00D30103"/>
    <w:rsid w:val="00D30613"/>
    <w:rsid w:val="00D3194A"/>
    <w:rsid w:val="00D3197B"/>
    <w:rsid w:val="00D31C16"/>
    <w:rsid w:val="00D31EF3"/>
    <w:rsid w:val="00D32073"/>
    <w:rsid w:val="00D326DD"/>
    <w:rsid w:val="00D33318"/>
    <w:rsid w:val="00D33FDA"/>
    <w:rsid w:val="00D3408D"/>
    <w:rsid w:val="00D34276"/>
    <w:rsid w:val="00D34757"/>
    <w:rsid w:val="00D35101"/>
    <w:rsid w:val="00D3766B"/>
    <w:rsid w:val="00D377A7"/>
    <w:rsid w:val="00D37E5F"/>
    <w:rsid w:val="00D409F8"/>
    <w:rsid w:val="00D414CA"/>
    <w:rsid w:val="00D4160F"/>
    <w:rsid w:val="00D41E95"/>
    <w:rsid w:val="00D4281A"/>
    <w:rsid w:val="00D43086"/>
    <w:rsid w:val="00D4362A"/>
    <w:rsid w:val="00D43F4C"/>
    <w:rsid w:val="00D44D62"/>
    <w:rsid w:val="00D45C04"/>
    <w:rsid w:val="00D4754B"/>
    <w:rsid w:val="00D47643"/>
    <w:rsid w:val="00D47707"/>
    <w:rsid w:val="00D47D2F"/>
    <w:rsid w:val="00D50390"/>
    <w:rsid w:val="00D50518"/>
    <w:rsid w:val="00D50642"/>
    <w:rsid w:val="00D506E9"/>
    <w:rsid w:val="00D5074D"/>
    <w:rsid w:val="00D507FE"/>
    <w:rsid w:val="00D50D5D"/>
    <w:rsid w:val="00D51677"/>
    <w:rsid w:val="00D51A2C"/>
    <w:rsid w:val="00D521F7"/>
    <w:rsid w:val="00D522D9"/>
    <w:rsid w:val="00D524B7"/>
    <w:rsid w:val="00D53C8F"/>
    <w:rsid w:val="00D5499F"/>
    <w:rsid w:val="00D552D7"/>
    <w:rsid w:val="00D55434"/>
    <w:rsid w:val="00D55A0E"/>
    <w:rsid w:val="00D57022"/>
    <w:rsid w:val="00D570D8"/>
    <w:rsid w:val="00D57EF7"/>
    <w:rsid w:val="00D60C6D"/>
    <w:rsid w:val="00D61061"/>
    <w:rsid w:val="00D618F0"/>
    <w:rsid w:val="00D62423"/>
    <w:rsid w:val="00D6442D"/>
    <w:rsid w:val="00D6449D"/>
    <w:rsid w:val="00D644EF"/>
    <w:rsid w:val="00D647EA"/>
    <w:rsid w:val="00D654C7"/>
    <w:rsid w:val="00D65D39"/>
    <w:rsid w:val="00D66238"/>
    <w:rsid w:val="00D66291"/>
    <w:rsid w:val="00D66319"/>
    <w:rsid w:val="00D668C8"/>
    <w:rsid w:val="00D66DFB"/>
    <w:rsid w:val="00D6733D"/>
    <w:rsid w:val="00D678A3"/>
    <w:rsid w:val="00D679FB"/>
    <w:rsid w:val="00D67C18"/>
    <w:rsid w:val="00D70A15"/>
    <w:rsid w:val="00D70A7A"/>
    <w:rsid w:val="00D71170"/>
    <w:rsid w:val="00D724AF"/>
    <w:rsid w:val="00D72996"/>
    <w:rsid w:val="00D734F9"/>
    <w:rsid w:val="00D73651"/>
    <w:rsid w:val="00D7382F"/>
    <w:rsid w:val="00D74692"/>
    <w:rsid w:val="00D751F2"/>
    <w:rsid w:val="00D75E10"/>
    <w:rsid w:val="00D760CD"/>
    <w:rsid w:val="00D76340"/>
    <w:rsid w:val="00D7670C"/>
    <w:rsid w:val="00D77215"/>
    <w:rsid w:val="00D77AD1"/>
    <w:rsid w:val="00D77FF9"/>
    <w:rsid w:val="00D80E7D"/>
    <w:rsid w:val="00D81651"/>
    <w:rsid w:val="00D81DED"/>
    <w:rsid w:val="00D826D5"/>
    <w:rsid w:val="00D830A0"/>
    <w:rsid w:val="00D83198"/>
    <w:rsid w:val="00D8363D"/>
    <w:rsid w:val="00D83D09"/>
    <w:rsid w:val="00D844D8"/>
    <w:rsid w:val="00D8505B"/>
    <w:rsid w:val="00D855D7"/>
    <w:rsid w:val="00D85D23"/>
    <w:rsid w:val="00D864A7"/>
    <w:rsid w:val="00D86B7C"/>
    <w:rsid w:val="00D86D69"/>
    <w:rsid w:val="00D8721A"/>
    <w:rsid w:val="00D87C13"/>
    <w:rsid w:val="00D915D1"/>
    <w:rsid w:val="00D9281B"/>
    <w:rsid w:val="00D92909"/>
    <w:rsid w:val="00D92C9F"/>
    <w:rsid w:val="00D9406E"/>
    <w:rsid w:val="00D94742"/>
    <w:rsid w:val="00D94C2B"/>
    <w:rsid w:val="00D95A9B"/>
    <w:rsid w:val="00D95BAC"/>
    <w:rsid w:val="00D960AA"/>
    <w:rsid w:val="00D96A4A"/>
    <w:rsid w:val="00D97D42"/>
    <w:rsid w:val="00D97F6C"/>
    <w:rsid w:val="00DA01B2"/>
    <w:rsid w:val="00DA0222"/>
    <w:rsid w:val="00DA04AE"/>
    <w:rsid w:val="00DA07D8"/>
    <w:rsid w:val="00DA08AF"/>
    <w:rsid w:val="00DA1898"/>
    <w:rsid w:val="00DA1F04"/>
    <w:rsid w:val="00DA210C"/>
    <w:rsid w:val="00DA2259"/>
    <w:rsid w:val="00DA3274"/>
    <w:rsid w:val="00DA336A"/>
    <w:rsid w:val="00DA3C64"/>
    <w:rsid w:val="00DA3FB8"/>
    <w:rsid w:val="00DA5822"/>
    <w:rsid w:val="00DA5F8C"/>
    <w:rsid w:val="00DA610D"/>
    <w:rsid w:val="00DA673B"/>
    <w:rsid w:val="00DA67F6"/>
    <w:rsid w:val="00DA7350"/>
    <w:rsid w:val="00DA7C0D"/>
    <w:rsid w:val="00DB1252"/>
    <w:rsid w:val="00DB1789"/>
    <w:rsid w:val="00DB1FFE"/>
    <w:rsid w:val="00DB2AD1"/>
    <w:rsid w:val="00DB30D0"/>
    <w:rsid w:val="00DB335F"/>
    <w:rsid w:val="00DB3900"/>
    <w:rsid w:val="00DB4199"/>
    <w:rsid w:val="00DB47C0"/>
    <w:rsid w:val="00DB5536"/>
    <w:rsid w:val="00DB6338"/>
    <w:rsid w:val="00DB6808"/>
    <w:rsid w:val="00DB78E1"/>
    <w:rsid w:val="00DB7C07"/>
    <w:rsid w:val="00DC0384"/>
    <w:rsid w:val="00DC06AA"/>
    <w:rsid w:val="00DC11EC"/>
    <w:rsid w:val="00DC1FF4"/>
    <w:rsid w:val="00DC25F4"/>
    <w:rsid w:val="00DC2B6C"/>
    <w:rsid w:val="00DC3072"/>
    <w:rsid w:val="00DC31BA"/>
    <w:rsid w:val="00DC3468"/>
    <w:rsid w:val="00DC375C"/>
    <w:rsid w:val="00DC39ED"/>
    <w:rsid w:val="00DC42DB"/>
    <w:rsid w:val="00DC464F"/>
    <w:rsid w:val="00DC4825"/>
    <w:rsid w:val="00DC4A03"/>
    <w:rsid w:val="00DC4EE0"/>
    <w:rsid w:val="00DC51A9"/>
    <w:rsid w:val="00DC62AB"/>
    <w:rsid w:val="00DC69D1"/>
    <w:rsid w:val="00DC6C50"/>
    <w:rsid w:val="00DC7637"/>
    <w:rsid w:val="00DD06FA"/>
    <w:rsid w:val="00DD0F3B"/>
    <w:rsid w:val="00DD0FC8"/>
    <w:rsid w:val="00DD1C5E"/>
    <w:rsid w:val="00DD2968"/>
    <w:rsid w:val="00DD3DC7"/>
    <w:rsid w:val="00DD4061"/>
    <w:rsid w:val="00DD45B4"/>
    <w:rsid w:val="00DD5B00"/>
    <w:rsid w:val="00DD710D"/>
    <w:rsid w:val="00DD735D"/>
    <w:rsid w:val="00DE0526"/>
    <w:rsid w:val="00DE0BA3"/>
    <w:rsid w:val="00DE0FA0"/>
    <w:rsid w:val="00DE1636"/>
    <w:rsid w:val="00DE1A20"/>
    <w:rsid w:val="00DE2D5C"/>
    <w:rsid w:val="00DE51F2"/>
    <w:rsid w:val="00DE5E20"/>
    <w:rsid w:val="00DE5E61"/>
    <w:rsid w:val="00DE65DB"/>
    <w:rsid w:val="00DE6AD8"/>
    <w:rsid w:val="00DE6CB3"/>
    <w:rsid w:val="00DE6DA0"/>
    <w:rsid w:val="00DE6ED3"/>
    <w:rsid w:val="00DE6F88"/>
    <w:rsid w:val="00DE7750"/>
    <w:rsid w:val="00DF027D"/>
    <w:rsid w:val="00DF05F4"/>
    <w:rsid w:val="00DF11C8"/>
    <w:rsid w:val="00DF14CC"/>
    <w:rsid w:val="00DF1699"/>
    <w:rsid w:val="00DF1B8E"/>
    <w:rsid w:val="00DF2040"/>
    <w:rsid w:val="00DF288C"/>
    <w:rsid w:val="00DF2F77"/>
    <w:rsid w:val="00DF3A9D"/>
    <w:rsid w:val="00DF4104"/>
    <w:rsid w:val="00DF48A4"/>
    <w:rsid w:val="00DF527F"/>
    <w:rsid w:val="00DF5627"/>
    <w:rsid w:val="00DF6FD3"/>
    <w:rsid w:val="00DF7575"/>
    <w:rsid w:val="00DF7ACE"/>
    <w:rsid w:val="00E01E5A"/>
    <w:rsid w:val="00E01F4A"/>
    <w:rsid w:val="00E01FE0"/>
    <w:rsid w:val="00E0256B"/>
    <w:rsid w:val="00E02927"/>
    <w:rsid w:val="00E033B4"/>
    <w:rsid w:val="00E0382B"/>
    <w:rsid w:val="00E041E3"/>
    <w:rsid w:val="00E0451D"/>
    <w:rsid w:val="00E04C4A"/>
    <w:rsid w:val="00E04FF1"/>
    <w:rsid w:val="00E05290"/>
    <w:rsid w:val="00E0540E"/>
    <w:rsid w:val="00E06EAC"/>
    <w:rsid w:val="00E070C2"/>
    <w:rsid w:val="00E105F9"/>
    <w:rsid w:val="00E10AB4"/>
    <w:rsid w:val="00E11DBA"/>
    <w:rsid w:val="00E128B0"/>
    <w:rsid w:val="00E12927"/>
    <w:rsid w:val="00E132C6"/>
    <w:rsid w:val="00E13EA6"/>
    <w:rsid w:val="00E1437C"/>
    <w:rsid w:val="00E15071"/>
    <w:rsid w:val="00E1520D"/>
    <w:rsid w:val="00E1567D"/>
    <w:rsid w:val="00E15929"/>
    <w:rsid w:val="00E161EA"/>
    <w:rsid w:val="00E16294"/>
    <w:rsid w:val="00E17096"/>
    <w:rsid w:val="00E175C0"/>
    <w:rsid w:val="00E200C2"/>
    <w:rsid w:val="00E21077"/>
    <w:rsid w:val="00E21108"/>
    <w:rsid w:val="00E21550"/>
    <w:rsid w:val="00E2170C"/>
    <w:rsid w:val="00E2193F"/>
    <w:rsid w:val="00E223CA"/>
    <w:rsid w:val="00E226A0"/>
    <w:rsid w:val="00E22C74"/>
    <w:rsid w:val="00E2318D"/>
    <w:rsid w:val="00E23CE2"/>
    <w:rsid w:val="00E23E7A"/>
    <w:rsid w:val="00E23F08"/>
    <w:rsid w:val="00E2453C"/>
    <w:rsid w:val="00E2497E"/>
    <w:rsid w:val="00E24F13"/>
    <w:rsid w:val="00E252C7"/>
    <w:rsid w:val="00E25545"/>
    <w:rsid w:val="00E25831"/>
    <w:rsid w:val="00E2585B"/>
    <w:rsid w:val="00E25C47"/>
    <w:rsid w:val="00E25F6F"/>
    <w:rsid w:val="00E260E1"/>
    <w:rsid w:val="00E26E6F"/>
    <w:rsid w:val="00E2721B"/>
    <w:rsid w:val="00E2727B"/>
    <w:rsid w:val="00E274A2"/>
    <w:rsid w:val="00E27C0A"/>
    <w:rsid w:val="00E3023D"/>
    <w:rsid w:val="00E314F4"/>
    <w:rsid w:val="00E316B3"/>
    <w:rsid w:val="00E31F43"/>
    <w:rsid w:val="00E32580"/>
    <w:rsid w:val="00E33289"/>
    <w:rsid w:val="00E33530"/>
    <w:rsid w:val="00E33B36"/>
    <w:rsid w:val="00E3453C"/>
    <w:rsid w:val="00E34C2E"/>
    <w:rsid w:val="00E35C5E"/>
    <w:rsid w:val="00E37507"/>
    <w:rsid w:val="00E40170"/>
    <w:rsid w:val="00E406E5"/>
    <w:rsid w:val="00E4218E"/>
    <w:rsid w:val="00E4249D"/>
    <w:rsid w:val="00E429CA"/>
    <w:rsid w:val="00E430B9"/>
    <w:rsid w:val="00E432D6"/>
    <w:rsid w:val="00E43318"/>
    <w:rsid w:val="00E43DEE"/>
    <w:rsid w:val="00E43ECF"/>
    <w:rsid w:val="00E44F3F"/>
    <w:rsid w:val="00E45664"/>
    <w:rsid w:val="00E45F41"/>
    <w:rsid w:val="00E460F8"/>
    <w:rsid w:val="00E477F0"/>
    <w:rsid w:val="00E47936"/>
    <w:rsid w:val="00E47DF0"/>
    <w:rsid w:val="00E50090"/>
    <w:rsid w:val="00E500C4"/>
    <w:rsid w:val="00E50BC1"/>
    <w:rsid w:val="00E527B0"/>
    <w:rsid w:val="00E532B7"/>
    <w:rsid w:val="00E53368"/>
    <w:rsid w:val="00E537E3"/>
    <w:rsid w:val="00E5413E"/>
    <w:rsid w:val="00E545D9"/>
    <w:rsid w:val="00E54C2E"/>
    <w:rsid w:val="00E557CF"/>
    <w:rsid w:val="00E56300"/>
    <w:rsid w:val="00E569A6"/>
    <w:rsid w:val="00E57CF6"/>
    <w:rsid w:val="00E603AF"/>
    <w:rsid w:val="00E617B9"/>
    <w:rsid w:val="00E61A8E"/>
    <w:rsid w:val="00E62D9A"/>
    <w:rsid w:val="00E63290"/>
    <w:rsid w:val="00E6333A"/>
    <w:rsid w:val="00E63B3C"/>
    <w:rsid w:val="00E6419C"/>
    <w:rsid w:val="00E64423"/>
    <w:rsid w:val="00E64D15"/>
    <w:rsid w:val="00E65064"/>
    <w:rsid w:val="00E650F5"/>
    <w:rsid w:val="00E65A62"/>
    <w:rsid w:val="00E65E7C"/>
    <w:rsid w:val="00E66466"/>
    <w:rsid w:val="00E665C4"/>
    <w:rsid w:val="00E66642"/>
    <w:rsid w:val="00E667B3"/>
    <w:rsid w:val="00E66EE4"/>
    <w:rsid w:val="00E70AD8"/>
    <w:rsid w:val="00E70B04"/>
    <w:rsid w:val="00E71DE0"/>
    <w:rsid w:val="00E7218E"/>
    <w:rsid w:val="00E72FF9"/>
    <w:rsid w:val="00E731EC"/>
    <w:rsid w:val="00E73B65"/>
    <w:rsid w:val="00E7422F"/>
    <w:rsid w:val="00E74DD6"/>
    <w:rsid w:val="00E76A3B"/>
    <w:rsid w:val="00E772A0"/>
    <w:rsid w:val="00E77599"/>
    <w:rsid w:val="00E7761D"/>
    <w:rsid w:val="00E778AB"/>
    <w:rsid w:val="00E8048D"/>
    <w:rsid w:val="00E8127C"/>
    <w:rsid w:val="00E81BAC"/>
    <w:rsid w:val="00E81CE1"/>
    <w:rsid w:val="00E8327A"/>
    <w:rsid w:val="00E84906"/>
    <w:rsid w:val="00E8533F"/>
    <w:rsid w:val="00E85E9F"/>
    <w:rsid w:val="00E869DD"/>
    <w:rsid w:val="00E871E2"/>
    <w:rsid w:val="00E876F6"/>
    <w:rsid w:val="00E87820"/>
    <w:rsid w:val="00E87CA8"/>
    <w:rsid w:val="00E90793"/>
    <w:rsid w:val="00E9095E"/>
    <w:rsid w:val="00E90D89"/>
    <w:rsid w:val="00E90EBE"/>
    <w:rsid w:val="00E91A48"/>
    <w:rsid w:val="00E91C13"/>
    <w:rsid w:val="00E9225E"/>
    <w:rsid w:val="00E925FD"/>
    <w:rsid w:val="00E92E0D"/>
    <w:rsid w:val="00E93588"/>
    <w:rsid w:val="00E93BC0"/>
    <w:rsid w:val="00E9515D"/>
    <w:rsid w:val="00E95477"/>
    <w:rsid w:val="00E976CF"/>
    <w:rsid w:val="00E979AD"/>
    <w:rsid w:val="00E97D95"/>
    <w:rsid w:val="00EA0527"/>
    <w:rsid w:val="00EA13AE"/>
    <w:rsid w:val="00EA1E04"/>
    <w:rsid w:val="00EA331D"/>
    <w:rsid w:val="00EA3FB4"/>
    <w:rsid w:val="00EA47D4"/>
    <w:rsid w:val="00EA49EA"/>
    <w:rsid w:val="00EA4FDD"/>
    <w:rsid w:val="00EA5032"/>
    <w:rsid w:val="00EA6334"/>
    <w:rsid w:val="00EA63F0"/>
    <w:rsid w:val="00EA64DD"/>
    <w:rsid w:val="00EA6A77"/>
    <w:rsid w:val="00EA6CAC"/>
    <w:rsid w:val="00EA6E81"/>
    <w:rsid w:val="00EA70A5"/>
    <w:rsid w:val="00EA7E23"/>
    <w:rsid w:val="00EB066D"/>
    <w:rsid w:val="00EB067D"/>
    <w:rsid w:val="00EB096A"/>
    <w:rsid w:val="00EB129F"/>
    <w:rsid w:val="00EB1D4B"/>
    <w:rsid w:val="00EB27C1"/>
    <w:rsid w:val="00EB2843"/>
    <w:rsid w:val="00EB2C43"/>
    <w:rsid w:val="00EB2F50"/>
    <w:rsid w:val="00EB32CD"/>
    <w:rsid w:val="00EB515D"/>
    <w:rsid w:val="00EB53F3"/>
    <w:rsid w:val="00EB5B07"/>
    <w:rsid w:val="00EB5DAD"/>
    <w:rsid w:val="00EB6295"/>
    <w:rsid w:val="00EB67C1"/>
    <w:rsid w:val="00EB77FC"/>
    <w:rsid w:val="00EC0CAE"/>
    <w:rsid w:val="00EC1500"/>
    <w:rsid w:val="00EC2B36"/>
    <w:rsid w:val="00EC2E5B"/>
    <w:rsid w:val="00EC3211"/>
    <w:rsid w:val="00EC3B29"/>
    <w:rsid w:val="00EC44DB"/>
    <w:rsid w:val="00EC4AD4"/>
    <w:rsid w:val="00EC54D8"/>
    <w:rsid w:val="00EC55AC"/>
    <w:rsid w:val="00EC5A27"/>
    <w:rsid w:val="00EC65B5"/>
    <w:rsid w:val="00EC6B1F"/>
    <w:rsid w:val="00EC6CA1"/>
    <w:rsid w:val="00EC73E6"/>
    <w:rsid w:val="00ED17E8"/>
    <w:rsid w:val="00ED1B78"/>
    <w:rsid w:val="00ED2020"/>
    <w:rsid w:val="00ED22CB"/>
    <w:rsid w:val="00ED22E4"/>
    <w:rsid w:val="00ED2434"/>
    <w:rsid w:val="00ED2457"/>
    <w:rsid w:val="00ED2895"/>
    <w:rsid w:val="00ED2B6F"/>
    <w:rsid w:val="00ED33B5"/>
    <w:rsid w:val="00ED38D6"/>
    <w:rsid w:val="00ED6481"/>
    <w:rsid w:val="00ED6869"/>
    <w:rsid w:val="00ED7206"/>
    <w:rsid w:val="00ED727B"/>
    <w:rsid w:val="00EE020B"/>
    <w:rsid w:val="00EE1192"/>
    <w:rsid w:val="00EE1A34"/>
    <w:rsid w:val="00EE1A89"/>
    <w:rsid w:val="00EE36FC"/>
    <w:rsid w:val="00EE39EB"/>
    <w:rsid w:val="00EE4169"/>
    <w:rsid w:val="00EE507B"/>
    <w:rsid w:val="00EE51CE"/>
    <w:rsid w:val="00EE5654"/>
    <w:rsid w:val="00EE569F"/>
    <w:rsid w:val="00EE59FE"/>
    <w:rsid w:val="00EE5E47"/>
    <w:rsid w:val="00EE5F63"/>
    <w:rsid w:val="00EE6361"/>
    <w:rsid w:val="00EE65A4"/>
    <w:rsid w:val="00EE68B7"/>
    <w:rsid w:val="00EE7CD8"/>
    <w:rsid w:val="00EF0698"/>
    <w:rsid w:val="00EF1A87"/>
    <w:rsid w:val="00EF1E54"/>
    <w:rsid w:val="00EF2ADA"/>
    <w:rsid w:val="00EF2D59"/>
    <w:rsid w:val="00EF437E"/>
    <w:rsid w:val="00EF5375"/>
    <w:rsid w:val="00EF5844"/>
    <w:rsid w:val="00EF69D1"/>
    <w:rsid w:val="00EF6A2F"/>
    <w:rsid w:val="00EF7267"/>
    <w:rsid w:val="00EF7278"/>
    <w:rsid w:val="00EF7FCB"/>
    <w:rsid w:val="00F00510"/>
    <w:rsid w:val="00F00A34"/>
    <w:rsid w:val="00F00BFA"/>
    <w:rsid w:val="00F017BF"/>
    <w:rsid w:val="00F019D8"/>
    <w:rsid w:val="00F01E80"/>
    <w:rsid w:val="00F02640"/>
    <w:rsid w:val="00F0279A"/>
    <w:rsid w:val="00F028B2"/>
    <w:rsid w:val="00F028FF"/>
    <w:rsid w:val="00F02916"/>
    <w:rsid w:val="00F03415"/>
    <w:rsid w:val="00F037F6"/>
    <w:rsid w:val="00F03C9F"/>
    <w:rsid w:val="00F056E4"/>
    <w:rsid w:val="00F05F3C"/>
    <w:rsid w:val="00F074D5"/>
    <w:rsid w:val="00F07828"/>
    <w:rsid w:val="00F1016B"/>
    <w:rsid w:val="00F10E1A"/>
    <w:rsid w:val="00F12338"/>
    <w:rsid w:val="00F12926"/>
    <w:rsid w:val="00F12F43"/>
    <w:rsid w:val="00F131E1"/>
    <w:rsid w:val="00F13CB7"/>
    <w:rsid w:val="00F14B0B"/>
    <w:rsid w:val="00F150B8"/>
    <w:rsid w:val="00F150C5"/>
    <w:rsid w:val="00F1518F"/>
    <w:rsid w:val="00F15484"/>
    <w:rsid w:val="00F155E1"/>
    <w:rsid w:val="00F177C9"/>
    <w:rsid w:val="00F177FD"/>
    <w:rsid w:val="00F200E9"/>
    <w:rsid w:val="00F204D2"/>
    <w:rsid w:val="00F20DFE"/>
    <w:rsid w:val="00F21889"/>
    <w:rsid w:val="00F21CC5"/>
    <w:rsid w:val="00F21DCF"/>
    <w:rsid w:val="00F22682"/>
    <w:rsid w:val="00F22A11"/>
    <w:rsid w:val="00F236F7"/>
    <w:rsid w:val="00F23C29"/>
    <w:rsid w:val="00F23DB4"/>
    <w:rsid w:val="00F240B2"/>
    <w:rsid w:val="00F2520C"/>
    <w:rsid w:val="00F26054"/>
    <w:rsid w:val="00F27FE4"/>
    <w:rsid w:val="00F309BF"/>
    <w:rsid w:val="00F30CA9"/>
    <w:rsid w:val="00F30CD8"/>
    <w:rsid w:val="00F31AF7"/>
    <w:rsid w:val="00F324D8"/>
    <w:rsid w:val="00F328A0"/>
    <w:rsid w:val="00F334C4"/>
    <w:rsid w:val="00F344A1"/>
    <w:rsid w:val="00F346E8"/>
    <w:rsid w:val="00F34994"/>
    <w:rsid w:val="00F3620B"/>
    <w:rsid w:val="00F363E3"/>
    <w:rsid w:val="00F36999"/>
    <w:rsid w:val="00F36C7A"/>
    <w:rsid w:val="00F36CA2"/>
    <w:rsid w:val="00F37592"/>
    <w:rsid w:val="00F37C9C"/>
    <w:rsid w:val="00F37FD6"/>
    <w:rsid w:val="00F4024E"/>
    <w:rsid w:val="00F40339"/>
    <w:rsid w:val="00F40452"/>
    <w:rsid w:val="00F404F2"/>
    <w:rsid w:val="00F4198A"/>
    <w:rsid w:val="00F42027"/>
    <w:rsid w:val="00F43788"/>
    <w:rsid w:val="00F437AF"/>
    <w:rsid w:val="00F4541E"/>
    <w:rsid w:val="00F45ABB"/>
    <w:rsid w:val="00F45E1D"/>
    <w:rsid w:val="00F4628D"/>
    <w:rsid w:val="00F462A5"/>
    <w:rsid w:val="00F47B5E"/>
    <w:rsid w:val="00F5031B"/>
    <w:rsid w:val="00F504AC"/>
    <w:rsid w:val="00F5054B"/>
    <w:rsid w:val="00F50BA9"/>
    <w:rsid w:val="00F5147F"/>
    <w:rsid w:val="00F51C9A"/>
    <w:rsid w:val="00F52FCA"/>
    <w:rsid w:val="00F53450"/>
    <w:rsid w:val="00F542AA"/>
    <w:rsid w:val="00F542B7"/>
    <w:rsid w:val="00F55A12"/>
    <w:rsid w:val="00F562A0"/>
    <w:rsid w:val="00F57648"/>
    <w:rsid w:val="00F577DC"/>
    <w:rsid w:val="00F60E33"/>
    <w:rsid w:val="00F61760"/>
    <w:rsid w:val="00F628A3"/>
    <w:rsid w:val="00F629AE"/>
    <w:rsid w:val="00F62CF2"/>
    <w:rsid w:val="00F62EE3"/>
    <w:rsid w:val="00F63297"/>
    <w:rsid w:val="00F6371B"/>
    <w:rsid w:val="00F6395E"/>
    <w:rsid w:val="00F6455E"/>
    <w:rsid w:val="00F64B12"/>
    <w:rsid w:val="00F65107"/>
    <w:rsid w:val="00F65D25"/>
    <w:rsid w:val="00F65E24"/>
    <w:rsid w:val="00F65ECB"/>
    <w:rsid w:val="00F66462"/>
    <w:rsid w:val="00F66711"/>
    <w:rsid w:val="00F67166"/>
    <w:rsid w:val="00F67595"/>
    <w:rsid w:val="00F677AC"/>
    <w:rsid w:val="00F67983"/>
    <w:rsid w:val="00F67CB3"/>
    <w:rsid w:val="00F70ECD"/>
    <w:rsid w:val="00F710AC"/>
    <w:rsid w:val="00F72332"/>
    <w:rsid w:val="00F737ED"/>
    <w:rsid w:val="00F738BB"/>
    <w:rsid w:val="00F739EE"/>
    <w:rsid w:val="00F73C4B"/>
    <w:rsid w:val="00F73D33"/>
    <w:rsid w:val="00F74C66"/>
    <w:rsid w:val="00F75FC6"/>
    <w:rsid w:val="00F763F0"/>
    <w:rsid w:val="00F76648"/>
    <w:rsid w:val="00F81529"/>
    <w:rsid w:val="00F8157F"/>
    <w:rsid w:val="00F81A2C"/>
    <w:rsid w:val="00F81E75"/>
    <w:rsid w:val="00F8215F"/>
    <w:rsid w:val="00F8266D"/>
    <w:rsid w:val="00F82A7D"/>
    <w:rsid w:val="00F83F39"/>
    <w:rsid w:val="00F8410B"/>
    <w:rsid w:val="00F8426B"/>
    <w:rsid w:val="00F84CBE"/>
    <w:rsid w:val="00F84F03"/>
    <w:rsid w:val="00F858B2"/>
    <w:rsid w:val="00F85D34"/>
    <w:rsid w:val="00F85E18"/>
    <w:rsid w:val="00F87075"/>
    <w:rsid w:val="00F870D5"/>
    <w:rsid w:val="00F8731D"/>
    <w:rsid w:val="00F874A5"/>
    <w:rsid w:val="00F875AD"/>
    <w:rsid w:val="00F878BB"/>
    <w:rsid w:val="00F87B0E"/>
    <w:rsid w:val="00F87BB8"/>
    <w:rsid w:val="00F87C8E"/>
    <w:rsid w:val="00F90281"/>
    <w:rsid w:val="00F903D6"/>
    <w:rsid w:val="00F90F73"/>
    <w:rsid w:val="00F91963"/>
    <w:rsid w:val="00F928E7"/>
    <w:rsid w:val="00F94919"/>
    <w:rsid w:val="00F94F7C"/>
    <w:rsid w:val="00F95851"/>
    <w:rsid w:val="00F95958"/>
    <w:rsid w:val="00F97916"/>
    <w:rsid w:val="00F979A2"/>
    <w:rsid w:val="00F97F9E"/>
    <w:rsid w:val="00FA004F"/>
    <w:rsid w:val="00FA08C5"/>
    <w:rsid w:val="00FA1152"/>
    <w:rsid w:val="00FA1371"/>
    <w:rsid w:val="00FA13CA"/>
    <w:rsid w:val="00FA168C"/>
    <w:rsid w:val="00FA17EC"/>
    <w:rsid w:val="00FA1859"/>
    <w:rsid w:val="00FA2276"/>
    <w:rsid w:val="00FA25BE"/>
    <w:rsid w:val="00FA2F44"/>
    <w:rsid w:val="00FA48B4"/>
    <w:rsid w:val="00FA4E68"/>
    <w:rsid w:val="00FA4EB4"/>
    <w:rsid w:val="00FA5218"/>
    <w:rsid w:val="00FA5810"/>
    <w:rsid w:val="00FA5D1B"/>
    <w:rsid w:val="00FA62B0"/>
    <w:rsid w:val="00FA6993"/>
    <w:rsid w:val="00FA7114"/>
    <w:rsid w:val="00FA737A"/>
    <w:rsid w:val="00FA79C6"/>
    <w:rsid w:val="00FB0A19"/>
    <w:rsid w:val="00FB1030"/>
    <w:rsid w:val="00FB1307"/>
    <w:rsid w:val="00FB193F"/>
    <w:rsid w:val="00FB1FAC"/>
    <w:rsid w:val="00FB2DF1"/>
    <w:rsid w:val="00FB2EBD"/>
    <w:rsid w:val="00FB2FA6"/>
    <w:rsid w:val="00FB39BD"/>
    <w:rsid w:val="00FB421E"/>
    <w:rsid w:val="00FB471F"/>
    <w:rsid w:val="00FB4950"/>
    <w:rsid w:val="00FB58E3"/>
    <w:rsid w:val="00FB6477"/>
    <w:rsid w:val="00FB6556"/>
    <w:rsid w:val="00FB65DF"/>
    <w:rsid w:val="00FB681A"/>
    <w:rsid w:val="00FB70F1"/>
    <w:rsid w:val="00FB72BF"/>
    <w:rsid w:val="00FB7613"/>
    <w:rsid w:val="00FB7DAB"/>
    <w:rsid w:val="00FB7FF5"/>
    <w:rsid w:val="00FC0011"/>
    <w:rsid w:val="00FC1339"/>
    <w:rsid w:val="00FC1444"/>
    <w:rsid w:val="00FC2291"/>
    <w:rsid w:val="00FC35D8"/>
    <w:rsid w:val="00FC3617"/>
    <w:rsid w:val="00FC375A"/>
    <w:rsid w:val="00FC4FEB"/>
    <w:rsid w:val="00FC52DE"/>
    <w:rsid w:val="00FC5814"/>
    <w:rsid w:val="00FC5C7A"/>
    <w:rsid w:val="00FC5D4B"/>
    <w:rsid w:val="00FC779F"/>
    <w:rsid w:val="00FD0057"/>
    <w:rsid w:val="00FD062C"/>
    <w:rsid w:val="00FD07B4"/>
    <w:rsid w:val="00FD0E7F"/>
    <w:rsid w:val="00FD10A8"/>
    <w:rsid w:val="00FD1C93"/>
    <w:rsid w:val="00FD1F63"/>
    <w:rsid w:val="00FD29A8"/>
    <w:rsid w:val="00FD2A24"/>
    <w:rsid w:val="00FD2D10"/>
    <w:rsid w:val="00FD2F5F"/>
    <w:rsid w:val="00FD305B"/>
    <w:rsid w:val="00FD31DE"/>
    <w:rsid w:val="00FD39DE"/>
    <w:rsid w:val="00FD3FED"/>
    <w:rsid w:val="00FD46A4"/>
    <w:rsid w:val="00FD4B0C"/>
    <w:rsid w:val="00FD4C2D"/>
    <w:rsid w:val="00FD5EE0"/>
    <w:rsid w:val="00FD600C"/>
    <w:rsid w:val="00FD67AD"/>
    <w:rsid w:val="00FD79AF"/>
    <w:rsid w:val="00FE0DE7"/>
    <w:rsid w:val="00FE15B9"/>
    <w:rsid w:val="00FE19DF"/>
    <w:rsid w:val="00FE1D00"/>
    <w:rsid w:val="00FE281A"/>
    <w:rsid w:val="00FE6BA4"/>
    <w:rsid w:val="00FF24C2"/>
    <w:rsid w:val="00FF301F"/>
    <w:rsid w:val="00FF3AAD"/>
    <w:rsid w:val="00FF3ED2"/>
    <w:rsid w:val="00FF42A5"/>
    <w:rsid w:val="00FF473D"/>
    <w:rsid w:val="00FF5C87"/>
    <w:rsid w:val="00FF7259"/>
    <w:rsid w:val="00FF7794"/>
    <w:rsid w:val="00FF7AB2"/>
    <w:rsid w:val="01106D47"/>
    <w:rsid w:val="01453E3D"/>
    <w:rsid w:val="019649DE"/>
    <w:rsid w:val="01D624F8"/>
    <w:rsid w:val="02471AA6"/>
    <w:rsid w:val="02982EA0"/>
    <w:rsid w:val="02BC51A0"/>
    <w:rsid w:val="02D015B6"/>
    <w:rsid w:val="02D630BE"/>
    <w:rsid w:val="02DF1845"/>
    <w:rsid w:val="032B7F58"/>
    <w:rsid w:val="035A7B11"/>
    <w:rsid w:val="036A7B30"/>
    <w:rsid w:val="03B07536"/>
    <w:rsid w:val="03D00464"/>
    <w:rsid w:val="0439026F"/>
    <w:rsid w:val="046332A2"/>
    <w:rsid w:val="049D5F80"/>
    <w:rsid w:val="0510691A"/>
    <w:rsid w:val="054C7258"/>
    <w:rsid w:val="059F3486"/>
    <w:rsid w:val="059F63FE"/>
    <w:rsid w:val="060773A2"/>
    <w:rsid w:val="069211BF"/>
    <w:rsid w:val="06E63BD0"/>
    <w:rsid w:val="07423A0C"/>
    <w:rsid w:val="0762407F"/>
    <w:rsid w:val="07680A44"/>
    <w:rsid w:val="077A6ADA"/>
    <w:rsid w:val="07B548DB"/>
    <w:rsid w:val="07E82E45"/>
    <w:rsid w:val="08552536"/>
    <w:rsid w:val="08765E5F"/>
    <w:rsid w:val="088002F5"/>
    <w:rsid w:val="08887011"/>
    <w:rsid w:val="089D6ADC"/>
    <w:rsid w:val="08B97878"/>
    <w:rsid w:val="08E270A8"/>
    <w:rsid w:val="091A7203"/>
    <w:rsid w:val="09274342"/>
    <w:rsid w:val="09392727"/>
    <w:rsid w:val="09540056"/>
    <w:rsid w:val="097F0EFF"/>
    <w:rsid w:val="09D33E26"/>
    <w:rsid w:val="0AA24B14"/>
    <w:rsid w:val="0AAE7665"/>
    <w:rsid w:val="0AB47BD1"/>
    <w:rsid w:val="0AD64EB9"/>
    <w:rsid w:val="0AEB46BF"/>
    <w:rsid w:val="0B10620A"/>
    <w:rsid w:val="0B665E8C"/>
    <w:rsid w:val="0C040755"/>
    <w:rsid w:val="0C372419"/>
    <w:rsid w:val="0C3769E1"/>
    <w:rsid w:val="0C9E2DD5"/>
    <w:rsid w:val="0CB15F00"/>
    <w:rsid w:val="0CE11F1B"/>
    <w:rsid w:val="0D27673A"/>
    <w:rsid w:val="0D44568C"/>
    <w:rsid w:val="0D790C84"/>
    <w:rsid w:val="0DEF2374"/>
    <w:rsid w:val="0DF41EE9"/>
    <w:rsid w:val="0DF52E1D"/>
    <w:rsid w:val="0E145348"/>
    <w:rsid w:val="0E3416F5"/>
    <w:rsid w:val="0E434119"/>
    <w:rsid w:val="0E493BB1"/>
    <w:rsid w:val="0EBD1308"/>
    <w:rsid w:val="0F002D88"/>
    <w:rsid w:val="0F2A69FF"/>
    <w:rsid w:val="0FC05946"/>
    <w:rsid w:val="0FD052D3"/>
    <w:rsid w:val="10166F4B"/>
    <w:rsid w:val="101957FD"/>
    <w:rsid w:val="101E5765"/>
    <w:rsid w:val="10663FDE"/>
    <w:rsid w:val="107F08F8"/>
    <w:rsid w:val="10B85813"/>
    <w:rsid w:val="10DC6C03"/>
    <w:rsid w:val="10DE31E3"/>
    <w:rsid w:val="11273C2E"/>
    <w:rsid w:val="11344EA2"/>
    <w:rsid w:val="11A750B0"/>
    <w:rsid w:val="11BC10BA"/>
    <w:rsid w:val="123E499F"/>
    <w:rsid w:val="12D15D9D"/>
    <w:rsid w:val="13247550"/>
    <w:rsid w:val="135546EC"/>
    <w:rsid w:val="137D7CAE"/>
    <w:rsid w:val="138A5438"/>
    <w:rsid w:val="138C0BC4"/>
    <w:rsid w:val="13AD2241"/>
    <w:rsid w:val="13B72B75"/>
    <w:rsid w:val="13C029CD"/>
    <w:rsid w:val="13C96A2F"/>
    <w:rsid w:val="13D20883"/>
    <w:rsid w:val="14D95F32"/>
    <w:rsid w:val="15253737"/>
    <w:rsid w:val="15334481"/>
    <w:rsid w:val="15793E41"/>
    <w:rsid w:val="15E1138A"/>
    <w:rsid w:val="16232CC3"/>
    <w:rsid w:val="16612405"/>
    <w:rsid w:val="16AE1C4A"/>
    <w:rsid w:val="1705576D"/>
    <w:rsid w:val="17A31AB8"/>
    <w:rsid w:val="17E6419C"/>
    <w:rsid w:val="18044FC8"/>
    <w:rsid w:val="18523338"/>
    <w:rsid w:val="18540D2F"/>
    <w:rsid w:val="185843E8"/>
    <w:rsid w:val="187F0246"/>
    <w:rsid w:val="18930B63"/>
    <w:rsid w:val="189E1CB0"/>
    <w:rsid w:val="18BE4954"/>
    <w:rsid w:val="18E33FD4"/>
    <w:rsid w:val="18F4274D"/>
    <w:rsid w:val="19140AB7"/>
    <w:rsid w:val="19256F9B"/>
    <w:rsid w:val="19280379"/>
    <w:rsid w:val="198E04A9"/>
    <w:rsid w:val="1993614A"/>
    <w:rsid w:val="19C02754"/>
    <w:rsid w:val="19C93C75"/>
    <w:rsid w:val="19E52865"/>
    <w:rsid w:val="1A0577CE"/>
    <w:rsid w:val="1A573C38"/>
    <w:rsid w:val="1A5A0196"/>
    <w:rsid w:val="1A610628"/>
    <w:rsid w:val="1B89346C"/>
    <w:rsid w:val="1B9D4E24"/>
    <w:rsid w:val="1BA6438E"/>
    <w:rsid w:val="1BA83768"/>
    <w:rsid w:val="1BB64B54"/>
    <w:rsid w:val="1BC01BD1"/>
    <w:rsid w:val="1BF60F73"/>
    <w:rsid w:val="1C577494"/>
    <w:rsid w:val="1C947D65"/>
    <w:rsid w:val="1C9949CD"/>
    <w:rsid w:val="1C9C7C20"/>
    <w:rsid w:val="1CB45D6A"/>
    <w:rsid w:val="1CBD4959"/>
    <w:rsid w:val="1CFD160C"/>
    <w:rsid w:val="1D1F5EB0"/>
    <w:rsid w:val="1D6B22D1"/>
    <w:rsid w:val="1D7F31F8"/>
    <w:rsid w:val="1D9B3744"/>
    <w:rsid w:val="1E034636"/>
    <w:rsid w:val="1E0855B0"/>
    <w:rsid w:val="1E8B2708"/>
    <w:rsid w:val="1ECB00D8"/>
    <w:rsid w:val="1F2873D7"/>
    <w:rsid w:val="1F4008D3"/>
    <w:rsid w:val="1F694CB4"/>
    <w:rsid w:val="1F74784F"/>
    <w:rsid w:val="1F866600"/>
    <w:rsid w:val="20283A4A"/>
    <w:rsid w:val="202D0D39"/>
    <w:rsid w:val="209B6D12"/>
    <w:rsid w:val="210967B4"/>
    <w:rsid w:val="212B72D6"/>
    <w:rsid w:val="21713ECE"/>
    <w:rsid w:val="21F62618"/>
    <w:rsid w:val="22153E09"/>
    <w:rsid w:val="221E292B"/>
    <w:rsid w:val="22252377"/>
    <w:rsid w:val="22273C9B"/>
    <w:rsid w:val="222F5027"/>
    <w:rsid w:val="222F552C"/>
    <w:rsid w:val="22300F96"/>
    <w:rsid w:val="227A613E"/>
    <w:rsid w:val="22BC6BE7"/>
    <w:rsid w:val="22EE023D"/>
    <w:rsid w:val="22FE354D"/>
    <w:rsid w:val="230876CB"/>
    <w:rsid w:val="23491362"/>
    <w:rsid w:val="235642BE"/>
    <w:rsid w:val="23686865"/>
    <w:rsid w:val="23721BAE"/>
    <w:rsid w:val="2377532D"/>
    <w:rsid w:val="23A06EB1"/>
    <w:rsid w:val="23B823CF"/>
    <w:rsid w:val="23E12662"/>
    <w:rsid w:val="24293278"/>
    <w:rsid w:val="245F3977"/>
    <w:rsid w:val="246A5164"/>
    <w:rsid w:val="24FA47E7"/>
    <w:rsid w:val="25640330"/>
    <w:rsid w:val="25B7455D"/>
    <w:rsid w:val="25D1237D"/>
    <w:rsid w:val="26347ED3"/>
    <w:rsid w:val="2655774E"/>
    <w:rsid w:val="265E3FE7"/>
    <w:rsid w:val="267000F3"/>
    <w:rsid w:val="26821012"/>
    <w:rsid w:val="26D20832"/>
    <w:rsid w:val="26E40AAC"/>
    <w:rsid w:val="27333F55"/>
    <w:rsid w:val="274B0D65"/>
    <w:rsid w:val="27676AF2"/>
    <w:rsid w:val="27B47A80"/>
    <w:rsid w:val="27BD4022"/>
    <w:rsid w:val="280E0B9D"/>
    <w:rsid w:val="280F15AD"/>
    <w:rsid w:val="281A6E43"/>
    <w:rsid w:val="28DE033C"/>
    <w:rsid w:val="28FD0F1D"/>
    <w:rsid w:val="29280C7E"/>
    <w:rsid w:val="292A3BCB"/>
    <w:rsid w:val="29C13DD6"/>
    <w:rsid w:val="29FE1C29"/>
    <w:rsid w:val="2A0C4DC8"/>
    <w:rsid w:val="2A251019"/>
    <w:rsid w:val="2A487868"/>
    <w:rsid w:val="2A705D6E"/>
    <w:rsid w:val="2A742BCF"/>
    <w:rsid w:val="2B021EC9"/>
    <w:rsid w:val="2B135FDF"/>
    <w:rsid w:val="2B3862D7"/>
    <w:rsid w:val="2B4558DB"/>
    <w:rsid w:val="2C2D5A82"/>
    <w:rsid w:val="2C354668"/>
    <w:rsid w:val="2C531093"/>
    <w:rsid w:val="2C571A72"/>
    <w:rsid w:val="2C7B24A4"/>
    <w:rsid w:val="2CA81A7A"/>
    <w:rsid w:val="2CC05537"/>
    <w:rsid w:val="2CCD29CF"/>
    <w:rsid w:val="2D7243D0"/>
    <w:rsid w:val="2DB76941"/>
    <w:rsid w:val="2DE65C4E"/>
    <w:rsid w:val="2E0341C0"/>
    <w:rsid w:val="2E0C70C6"/>
    <w:rsid w:val="2E1978FA"/>
    <w:rsid w:val="2E544613"/>
    <w:rsid w:val="2E6C2590"/>
    <w:rsid w:val="2E792D18"/>
    <w:rsid w:val="2E9340F3"/>
    <w:rsid w:val="2F0A3223"/>
    <w:rsid w:val="2F0B4B40"/>
    <w:rsid w:val="2F483F3A"/>
    <w:rsid w:val="2F7B0F1F"/>
    <w:rsid w:val="2F891A99"/>
    <w:rsid w:val="2F9C40A5"/>
    <w:rsid w:val="2FEE71A1"/>
    <w:rsid w:val="2FF1408D"/>
    <w:rsid w:val="30352E32"/>
    <w:rsid w:val="30474781"/>
    <w:rsid w:val="30772CB1"/>
    <w:rsid w:val="30790079"/>
    <w:rsid w:val="30A85870"/>
    <w:rsid w:val="30B15D5D"/>
    <w:rsid w:val="30E20969"/>
    <w:rsid w:val="30F10BE6"/>
    <w:rsid w:val="310A19BF"/>
    <w:rsid w:val="310D2476"/>
    <w:rsid w:val="31132457"/>
    <w:rsid w:val="311B6D6E"/>
    <w:rsid w:val="314F100C"/>
    <w:rsid w:val="31550CC4"/>
    <w:rsid w:val="31587068"/>
    <w:rsid w:val="316D1D66"/>
    <w:rsid w:val="31A91888"/>
    <w:rsid w:val="31B5592D"/>
    <w:rsid w:val="31C06691"/>
    <w:rsid w:val="32084635"/>
    <w:rsid w:val="3213310F"/>
    <w:rsid w:val="324002E3"/>
    <w:rsid w:val="3248578A"/>
    <w:rsid w:val="32834FB9"/>
    <w:rsid w:val="32AA2EE8"/>
    <w:rsid w:val="32F95FD4"/>
    <w:rsid w:val="33000407"/>
    <w:rsid w:val="33124428"/>
    <w:rsid w:val="3321367B"/>
    <w:rsid w:val="33355714"/>
    <w:rsid w:val="33386F95"/>
    <w:rsid w:val="33433130"/>
    <w:rsid w:val="33AF3D83"/>
    <w:rsid w:val="33B374E0"/>
    <w:rsid w:val="33E10F5E"/>
    <w:rsid w:val="340A736F"/>
    <w:rsid w:val="34177BC5"/>
    <w:rsid w:val="34290DB9"/>
    <w:rsid w:val="34396EBE"/>
    <w:rsid w:val="3442286F"/>
    <w:rsid w:val="34617F5C"/>
    <w:rsid w:val="34766487"/>
    <w:rsid w:val="34AD566C"/>
    <w:rsid w:val="34E75A77"/>
    <w:rsid w:val="351C4B99"/>
    <w:rsid w:val="357B1B5E"/>
    <w:rsid w:val="35E22EE0"/>
    <w:rsid w:val="361F6EEB"/>
    <w:rsid w:val="36552944"/>
    <w:rsid w:val="36644F21"/>
    <w:rsid w:val="3682783F"/>
    <w:rsid w:val="37714C46"/>
    <w:rsid w:val="37A262E6"/>
    <w:rsid w:val="37A63AC0"/>
    <w:rsid w:val="37C17E87"/>
    <w:rsid w:val="38053383"/>
    <w:rsid w:val="383D1B14"/>
    <w:rsid w:val="389C4EE9"/>
    <w:rsid w:val="38AB6387"/>
    <w:rsid w:val="38AE5559"/>
    <w:rsid w:val="39364413"/>
    <w:rsid w:val="396266A8"/>
    <w:rsid w:val="39635A06"/>
    <w:rsid w:val="397F2ECE"/>
    <w:rsid w:val="39BE458F"/>
    <w:rsid w:val="39DA58C3"/>
    <w:rsid w:val="3A1D0786"/>
    <w:rsid w:val="3A2E4457"/>
    <w:rsid w:val="3AA90A6E"/>
    <w:rsid w:val="3AAE5555"/>
    <w:rsid w:val="3B0B0450"/>
    <w:rsid w:val="3B3B1C2F"/>
    <w:rsid w:val="3B5B02E2"/>
    <w:rsid w:val="3BAD2D5E"/>
    <w:rsid w:val="3BAE44E2"/>
    <w:rsid w:val="3C115B92"/>
    <w:rsid w:val="3C6D3AF9"/>
    <w:rsid w:val="3C8E58EE"/>
    <w:rsid w:val="3CB47EF3"/>
    <w:rsid w:val="3CBE5EE2"/>
    <w:rsid w:val="3CC524C4"/>
    <w:rsid w:val="3D034EAF"/>
    <w:rsid w:val="3D145E43"/>
    <w:rsid w:val="3D4032A6"/>
    <w:rsid w:val="3D4C7027"/>
    <w:rsid w:val="3D5029C9"/>
    <w:rsid w:val="3D6C7EB0"/>
    <w:rsid w:val="3D853072"/>
    <w:rsid w:val="3DCE7682"/>
    <w:rsid w:val="3DF46097"/>
    <w:rsid w:val="3E105F87"/>
    <w:rsid w:val="3E166D15"/>
    <w:rsid w:val="3E431162"/>
    <w:rsid w:val="3E495A7B"/>
    <w:rsid w:val="3E7F648A"/>
    <w:rsid w:val="3E9C4ECD"/>
    <w:rsid w:val="3EE77639"/>
    <w:rsid w:val="3F303546"/>
    <w:rsid w:val="3F51639B"/>
    <w:rsid w:val="3F5C2971"/>
    <w:rsid w:val="3F8864AE"/>
    <w:rsid w:val="3FB5003A"/>
    <w:rsid w:val="3FEE77AE"/>
    <w:rsid w:val="402B1B6C"/>
    <w:rsid w:val="40590EA9"/>
    <w:rsid w:val="40633E29"/>
    <w:rsid w:val="40934B63"/>
    <w:rsid w:val="40AD25C2"/>
    <w:rsid w:val="41073A91"/>
    <w:rsid w:val="41347959"/>
    <w:rsid w:val="419E18BD"/>
    <w:rsid w:val="41E5267F"/>
    <w:rsid w:val="420536AE"/>
    <w:rsid w:val="422B49D9"/>
    <w:rsid w:val="423452AF"/>
    <w:rsid w:val="424109EC"/>
    <w:rsid w:val="427465EB"/>
    <w:rsid w:val="42F45E83"/>
    <w:rsid w:val="431360FE"/>
    <w:rsid w:val="431A4FD5"/>
    <w:rsid w:val="43253D8C"/>
    <w:rsid w:val="4348757C"/>
    <w:rsid w:val="4359190C"/>
    <w:rsid w:val="435C00D0"/>
    <w:rsid w:val="43832EE0"/>
    <w:rsid w:val="438E410B"/>
    <w:rsid w:val="43A26494"/>
    <w:rsid w:val="43B1420D"/>
    <w:rsid w:val="43B27948"/>
    <w:rsid w:val="43CC6EDF"/>
    <w:rsid w:val="43D838D2"/>
    <w:rsid w:val="43E862B3"/>
    <w:rsid w:val="43F249F0"/>
    <w:rsid w:val="441F1393"/>
    <w:rsid w:val="44217024"/>
    <w:rsid w:val="44A410E6"/>
    <w:rsid w:val="44D94C5D"/>
    <w:rsid w:val="459F0FD3"/>
    <w:rsid w:val="45A67BEA"/>
    <w:rsid w:val="45AB124D"/>
    <w:rsid w:val="45D41235"/>
    <w:rsid w:val="45D45471"/>
    <w:rsid w:val="45F671B6"/>
    <w:rsid w:val="45FF0673"/>
    <w:rsid w:val="46015614"/>
    <w:rsid w:val="461F1A68"/>
    <w:rsid w:val="46452659"/>
    <w:rsid w:val="4660171B"/>
    <w:rsid w:val="46815527"/>
    <w:rsid w:val="46B77AF6"/>
    <w:rsid w:val="46F00750"/>
    <w:rsid w:val="46F37E94"/>
    <w:rsid w:val="46F6270A"/>
    <w:rsid w:val="474177FD"/>
    <w:rsid w:val="475D1AE3"/>
    <w:rsid w:val="47726233"/>
    <w:rsid w:val="47975921"/>
    <w:rsid w:val="47DA55DC"/>
    <w:rsid w:val="48025744"/>
    <w:rsid w:val="480710C9"/>
    <w:rsid w:val="482A7373"/>
    <w:rsid w:val="48645C92"/>
    <w:rsid w:val="487A4769"/>
    <w:rsid w:val="48963268"/>
    <w:rsid w:val="48AA2566"/>
    <w:rsid w:val="48D2274D"/>
    <w:rsid w:val="48EC51D2"/>
    <w:rsid w:val="48EE0238"/>
    <w:rsid w:val="48F57780"/>
    <w:rsid w:val="492B54DC"/>
    <w:rsid w:val="49347005"/>
    <w:rsid w:val="49A82251"/>
    <w:rsid w:val="49A90550"/>
    <w:rsid w:val="49AF3B3E"/>
    <w:rsid w:val="49B848ED"/>
    <w:rsid w:val="49D12699"/>
    <w:rsid w:val="49D16FE0"/>
    <w:rsid w:val="49D308ED"/>
    <w:rsid w:val="49E7631E"/>
    <w:rsid w:val="49EA32C0"/>
    <w:rsid w:val="4A1C47E9"/>
    <w:rsid w:val="4A5068AB"/>
    <w:rsid w:val="4AF302B4"/>
    <w:rsid w:val="4B1A0E1B"/>
    <w:rsid w:val="4B5351AF"/>
    <w:rsid w:val="4B594C0C"/>
    <w:rsid w:val="4B705133"/>
    <w:rsid w:val="4B765135"/>
    <w:rsid w:val="4BC735FE"/>
    <w:rsid w:val="4C037810"/>
    <w:rsid w:val="4C3233C5"/>
    <w:rsid w:val="4CF903EA"/>
    <w:rsid w:val="4D180A01"/>
    <w:rsid w:val="4D607A9D"/>
    <w:rsid w:val="4E382DF5"/>
    <w:rsid w:val="4E6D5314"/>
    <w:rsid w:val="4EDA6E38"/>
    <w:rsid w:val="4F072BC9"/>
    <w:rsid w:val="4F275D24"/>
    <w:rsid w:val="4F335563"/>
    <w:rsid w:val="4F39370F"/>
    <w:rsid w:val="4F394BB5"/>
    <w:rsid w:val="4F3A4767"/>
    <w:rsid w:val="4FAC1328"/>
    <w:rsid w:val="4FCB3F31"/>
    <w:rsid w:val="501570A6"/>
    <w:rsid w:val="50350A1E"/>
    <w:rsid w:val="503B2CBF"/>
    <w:rsid w:val="50487696"/>
    <w:rsid w:val="50BD44A0"/>
    <w:rsid w:val="50CC7536"/>
    <w:rsid w:val="513D43D1"/>
    <w:rsid w:val="514237B7"/>
    <w:rsid w:val="517F597D"/>
    <w:rsid w:val="51BE2DED"/>
    <w:rsid w:val="51C912C8"/>
    <w:rsid w:val="520E1FF1"/>
    <w:rsid w:val="526F3465"/>
    <w:rsid w:val="52C94441"/>
    <w:rsid w:val="52CD4A2C"/>
    <w:rsid w:val="52E914F7"/>
    <w:rsid w:val="537A215A"/>
    <w:rsid w:val="538C2010"/>
    <w:rsid w:val="53B74864"/>
    <w:rsid w:val="53BE1182"/>
    <w:rsid w:val="53EC4C7E"/>
    <w:rsid w:val="541F6544"/>
    <w:rsid w:val="54356186"/>
    <w:rsid w:val="54853D1D"/>
    <w:rsid w:val="54C251AB"/>
    <w:rsid w:val="54C91B0D"/>
    <w:rsid w:val="54D715BC"/>
    <w:rsid w:val="54E04ED9"/>
    <w:rsid w:val="551E53B4"/>
    <w:rsid w:val="55215D0C"/>
    <w:rsid w:val="55A77DCB"/>
    <w:rsid w:val="55B13E14"/>
    <w:rsid w:val="55B32AB3"/>
    <w:rsid w:val="55C3639C"/>
    <w:rsid w:val="55D2592A"/>
    <w:rsid w:val="56276DE2"/>
    <w:rsid w:val="564077E2"/>
    <w:rsid w:val="56A3144E"/>
    <w:rsid w:val="56B1055D"/>
    <w:rsid w:val="56B83B50"/>
    <w:rsid w:val="56BC5E47"/>
    <w:rsid w:val="56E01F66"/>
    <w:rsid w:val="56E6359C"/>
    <w:rsid w:val="576E0FEA"/>
    <w:rsid w:val="5784285E"/>
    <w:rsid w:val="578F1FB5"/>
    <w:rsid w:val="57E50957"/>
    <w:rsid w:val="58062A1F"/>
    <w:rsid w:val="582C1475"/>
    <w:rsid w:val="58DE590A"/>
    <w:rsid w:val="58E93342"/>
    <w:rsid w:val="58EA16FA"/>
    <w:rsid w:val="58F5018D"/>
    <w:rsid w:val="5905482A"/>
    <w:rsid w:val="59767032"/>
    <w:rsid w:val="597E056E"/>
    <w:rsid w:val="597F1ABA"/>
    <w:rsid w:val="59A94EEE"/>
    <w:rsid w:val="59DD0FB9"/>
    <w:rsid w:val="5A3C1826"/>
    <w:rsid w:val="5A567F4B"/>
    <w:rsid w:val="5AD2033F"/>
    <w:rsid w:val="5B1D794E"/>
    <w:rsid w:val="5B511145"/>
    <w:rsid w:val="5B684ABB"/>
    <w:rsid w:val="5B6D559C"/>
    <w:rsid w:val="5B97364B"/>
    <w:rsid w:val="5BA9582A"/>
    <w:rsid w:val="5BB0515A"/>
    <w:rsid w:val="5BC12BF0"/>
    <w:rsid w:val="5C4979D6"/>
    <w:rsid w:val="5C9D5D1B"/>
    <w:rsid w:val="5CCE270D"/>
    <w:rsid w:val="5D0407BE"/>
    <w:rsid w:val="5D7748BE"/>
    <w:rsid w:val="5D8E72FC"/>
    <w:rsid w:val="5DE32167"/>
    <w:rsid w:val="5E032BE8"/>
    <w:rsid w:val="5E2A134D"/>
    <w:rsid w:val="5E385832"/>
    <w:rsid w:val="5E845E2C"/>
    <w:rsid w:val="5EA24379"/>
    <w:rsid w:val="5EA75A3E"/>
    <w:rsid w:val="5EA778C3"/>
    <w:rsid w:val="5EC51B7E"/>
    <w:rsid w:val="5EF7494E"/>
    <w:rsid w:val="5EF84485"/>
    <w:rsid w:val="5F0222FA"/>
    <w:rsid w:val="5F273820"/>
    <w:rsid w:val="5F2A2E07"/>
    <w:rsid w:val="5F342F5B"/>
    <w:rsid w:val="5F38247D"/>
    <w:rsid w:val="5F56362C"/>
    <w:rsid w:val="5F8743BB"/>
    <w:rsid w:val="5F8B1998"/>
    <w:rsid w:val="5FB42459"/>
    <w:rsid w:val="5FB5097F"/>
    <w:rsid w:val="5FE013B4"/>
    <w:rsid w:val="5FEE02E3"/>
    <w:rsid w:val="60127440"/>
    <w:rsid w:val="601C0B39"/>
    <w:rsid w:val="60664815"/>
    <w:rsid w:val="608360B4"/>
    <w:rsid w:val="609F6FF7"/>
    <w:rsid w:val="60EE3CD4"/>
    <w:rsid w:val="61090944"/>
    <w:rsid w:val="6120291B"/>
    <w:rsid w:val="614A0858"/>
    <w:rsid w:val="615F2FFB"/>
    <w:rsid w:val="6184767E"/>
    <w:rsid w:val="61C82096"/>
    <w:rsid w:val="61FA41F6"/>
    <w:rsid w:val="621A6315"/>
    <w:rsid w:val="62D6650E"/>
    <w:rsid w:val="62D94C55"/>
    <w:rsid w:val="62E34314"/>
    <w:rsid w:val="62F5669F"/>
    <w:rsid w:val="62F854C9"/>
    <w:rsid w:val="633E26A7"/>
    <w:rsid w:val="6371005A"/>
    <w:rsid w:val="639B547E"/>
    <w:rsid w:val="63CF11B2"/>
    <w:rsid w:val="63D87708"/>
    <w:rsid w:val="63DA02FA"/>
    <w:rsid w:val="64393CE5"/>
    <w:rsid w:val="64532992"/>
    <w:rsid w:val="645A1635"/>
    <w:rsid w:val="645C32F5"/>
    <w:rsid w:val="64901DEF"/>
    <w:rsid w:val="64960673"/>
    <w:rsid w:val="64E30A47"/>
    <w:rsid w:val="65314E82"/>
    <w:rsid w:val="656E043F"/>
    <w:rsid w:val="65782B73"/>
    <w:rsid w:val="65901158"/>
    <w:rsid w:val="659D2211"/>
    <w:rsid w:val="659F6128"/>
    <w:rsid w:val="65DA4E65"/>
    <w:rsid w:val="665277B2"/>
    <w:rsid w:val="665B2703"/>
    <w:rsid w:val="66755F16"/>
    <w:rsid w:val="669A2425"/>
    <w:rsid w:val="66B87099"/>
    <w:rsid w:val="66D1452B"/>
    <w:rsid w:val="66D14973"/>
    <w:rsid w:val="6745097F"/>
    <w:rsid w:val="674B1F6E"/>
    <w:rsid w:val="67676308"/>
    <w:rsid w:val="677F55D2"/>
    <w:rsid w:val="6789591C"/>
    <w:rsid w:val="67950D20"/>
    <w:rsid w:val="67AE5BC3"/>
    <w:rsid w:val="67BB729B"/>
    <w:rsid w:val="67DB27BB"/>
    <w:rsid w:val="67FE316E"/>
    <w:rsid w:val="682D710C"/>
    <w:rsid w:val="684017F6"/>
    <w:rsid w:val="686B7798"/>
    <w:rsid w:val="68795C98"/>
    <w:rsid w:val="687C4AE4"/>
    <w:rsid w:val="68A67B50"/>
    <w:rsid w:val="68A73E82"/>
    <w:rsid w:val="68AF608B"/>
    <w:rsid w:val="68C074B4"/>
    <w:rsid w:val="68EA3516"/>
    <w:rsid w:val="69140404"/>
    <w:rsid w:val="694614BB"/>
    <w:rsid w:val="69493F9B"/>
    <w:rsid w:val="69683F02"/>
    <w:rsid w:val="699D3423"/>
    <w:rsid w:val="69C33E22"/>
    <w:rsid w:val="69DE7C98"/>
    <w:rsid w:val="69E94E25"/>
    <w:rsid w:val="6A141D41"/>
    <w:rsid w:val="6A49581D"/>
    <w:rsid w:val="6A635A10"/>
    <w:rsid w:val="6A7A24CB"/>
    <w:rsid w:val="6A86633B"/>
    <w:rsid w:val="6AAC62D2"/>
    <w:rsid w:val="6AB94979"/>
    <w:rsid w:val="6AD14FA0"/>
    <w:rsid w:val="6AD50E8E"/>
    <w:rsid w:val="6AF64DB8"/>
    <w:rsid w:val="6B0A502C"/>
    <w:rsid w:val="6B7F6766"/>
    <w:rsid w:val="6B8279EB"/>
    <w:rsid w:val="6BFA75F8"/>
    <w:rsid w:val="6C002AD2"/>
    <w:rsid w:val="6C245510"/>
    <w:rsid w:val="6C70433D"/>
    <w:rsid w:val="6C9E17AE"/>
    <w:rsid w:val="6CA62E82"/>
    <w:rsid w:val="6CAC488B"/>
    <w:rsid w:val="6CCC50DD"/>
    <w:rsid w:val="6CD52F6B"/>
    <w:rsid w:val="6CF604D5"/>
    <w:rsid w:val="6D164AD7"/>
    <w:rsid w:val="6D41420E"/>
    <w:rsid w:val="6D633709"/>
    <w:rsid w:val="6D702350"/>
    <w:rsid w:val="6D764032"/>
    <w:rsid w:val="6DF3095C"/>
    <w:rsid w:val="6E0648FF"/>
    <w:rsid w:val="6E6346F9"/>
    <w:rsid w:val="6E7E22FD"/>
    <w:rsid w:val="6E8679F5"/>
    <w:rsid w:val="6E935623"/>
    <w:rsid w:val="6EBF01CF"/>
    <w:rsid w:val="6EBF6DE3"/>
    <w:rsid w:val="6F1F6820"/>
    <w:rsid w:val="6F3F02B4"/>
    <w:rsid w:val="6F3F1BA6"/>
    <w:rsid w:val="6F785F05"/>
    <w:rsid w:val="6F8A3833"/>
    <w:rsid w:val="6F9F46E4"/>
    <w:rsid w:val="6FA8082C"/>
    <w:rsid w:val="6FC46E1F"/>
    <w:rsid w:val="6FCB38BA"/>
    <w:rsid w:val="6FD242B2"/>
    <w:rsid w:val="6FDE4A85"/>
    <w:rsid w:val="6FF069FD"/>
    <w:rsid w:val="70007E5D"/>
    <w:rsid w:val="708A00D7"/>
    <w:rsid w:val="712001FE"/>
    <w:rsid w:val="71542795"/>
    <w:rsid w:val="71847DF6"/>
    <w:rsid w:val="719D4645"/>
    <w:rsid w:val="71AD0C93"/>
    <w:rsid w:val="71F7153C"/>
    <w:rsid w:val="72044703"/>
    <w:rsid w:val="721B2FAE"/>
    <w:rsid w:val="72531AB1"/>
    <w:rsid w:val="729D42B7"/>
    <w:rsid w:val="73464B01"/>
    <w:rsid w:val="738F2078"/>
    <w:rsid w:val="73D8283F"/>
    <w:rsid w:val="73FA0D33"/>
    <w:rsid w:val="7443650F"/>
    <w:rsid w:val="74677C97"/>
    <w:rsid w:val="747B7D49"/>
    <w:rsid w:val="74A566AB"/>
    <w:rsid w:val="74CD3FB9"/>
    <w:rsid w:val="74E03B36"/>
    <w:rsid w:val="74F40DB6"/>
    <w:rsid w:val="75A34267"/>
    <w:rsid w:val="75A91528"/>
    <w:rsid w:val="75BE1156"/>
    <w:rsid w:val="75C9260B"/>
    <w:rsid w:val="75EA4B2E"/>
    <w:rsid w:val="768567CD"/>
    <w:rsid w:val="7722677F"/>
    <w:rsid w:val="77415008"/>
    <w:rsid w:val="774D2EB4"/>
    <w:rsid w:val="774E5461"/>
    <w:rsid w:val="7760433A"/>
    <w:rsid w:val="780E44BE"/>
    <w:rsid w:val="78404275"/>
    <w:rsid w:val="78645606"/>
    <w:rsid w:val="78935A75"/>
    <w:rsid w:val="789D1FD9"/>
    <w:rsid w:val="78E4110A"/>
    <w:rsid w:val="78F77D99"/>
    <w:rsid w:val="799B7332"/>
    <w:rsid w:val="7A026D67"/>
    <w:rsid w:val="7A212962"/>
    <w:rsid w:val="7A221D68"/>
    <w:rsid w:val="7A844770"/>
    <w:rsid w:val="7AAC050D"/>
    <w:rsid w:val="7AD919B1"/>
    <w:rsid w:val="7AEB061E"/>
    <w:rsid w:val="7B4C3DE8"/>
    <w:rsid w:val="7B7404A9"/>
    <w:rsid w:val="7B8F2F15"/>
    <w:rsid w:val="7B92765B"/>
    <w:rsid w:val="7B992980"/>
    <w:rsid w:val="7BA83819"/>
    <w:rsid w:val="7BBB34F8"/>
    <w:rsid w:val="7BDC0973"/>
    <w:rsid w:val="7C216F84"/>
    <w:rsid w:val="7C293442"/>
    <w:rsid w:val="7C4B6A1B"/>
    <w:rsid w:val="7C7863F6"/>
    <w:rsid w:val="7C875C0E"/>
    <w:rsid w:val="7C8E4DB2"/>
    <w:rsid w:val="7C8E64EB"/>
    <w:rsid w:val="7CC11E88"/>
    <w:rsid w:val="7D026C11"/>
    <w:rsid w:val="7D080D7C"/>
    <w:rsid w:val="7D23429C"/>
    <w:rsid w:val="7D692329"/>
    <w:rsid w:val="7D754F9A"/>
    <w:rsid w:val="7D8E6F79"/>
    <w:rsid w:val="7DA03CD5"/>
    <w:rsid w:val="7DCC3006"/>
    <w:rsid w:val="7E151659"/>
    <w:rsid w:val="7E784515"/>
    <w:rsid w:val="7EDF5C4F"/>
    <w:rsid w:val="7EF90AC3"/>
    <w:rsid w:val="7F0A1249"/>
    <w:rsid w:val="7F702DAF"/>
    <w:rsid w:val="7FD46BB9"/>
    <w:rsid w:val="7FE4084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7"/>
    <w:semiHidden/>
    <w:qFormat/>
    <w:uiPriority w:val="99"/>
    <w:pPr>
      <w:widowControl w:val="0"/>
      <w:spacing w:line="240" w:lineRule="auto"/>
    </w:pPr>
    <w:rPr>
      <w:rFonts w:ascii="Times New Roman" w:hAnsi="Times New Roman" w:eastAsia="宋体" w:cs="Times New Roman"/>
      <w:b/>
      <w:bCs/>
      <w:kern w:val="2"/>
      <w:sz w:val="21"/>
      <w:szCs w:val="21"/>
    </w:rPr>
  </w:style>
  <w:style w:type="paragraph" w:styleId="4">
    <w:name w:val="annotation text"/>
    <w:basedOn w:val="1"/>
    <w:link w:val="33"/>
    <w:semiHidden/>
    <w:qFormat/>
    <w:uiPriority w:val="99"/>
    <w:pPr>
      <w:widowControl/>
      <w:spacing w:line="360" w:lineRule="auto"/>
      <w:jc w:val="left"/>
    </w:pPr>
    <w:rPr>
      <w:rFonts w:ascii="Cambria" w:hAnsi="Cambria" w:eastAsia="MS Mincho" w:cs="Cambria"/>
      <w:kern w:val="0"/>
      <w:sz w:val="24"/>
      <w:szCs w:val="24"/>
    </w:rPr>
  </w:style>
  <w:style w:type="paragraph" w:styleId="5">
    <w:name w:val="Document Map"/>
    <w:basedOn w:val="1"/>
    <w:link w:val="36"/>
    <w:semiHidden/>
    <w:qFormat/>
    <w:uiPriority w:val="99"/>
    <w:rPr>
      <w:rFonts w:ascii="宋体" w:hAnsi="Calibri" w:cs="宋体"/>
      <w:sz w:val="18"/>
      <w:szCs w:val="18"/>
    </w:rPr>
  </w:style>
  <w:style w:type="paragraph" w:styleId="6">
    <w:name w:val="Date"/>
    <w:basedOn w:val="1"/>
    <w:next w:val="1"/>
    <w:link w:val="31"/>
    <w:semiHidden/>
    <w:qFormat/>
    <w:uiPriority w:val="99"/>
    <w:pPr>
      <w:ind w:left="100" w:leftChars="2500"/>
    </w:pPr>
  </w:style>
  <w:style w:type="paragraph" w:styleId="7">
    <w:name w:val="Balloon Text"/>
    <w:basedOn w:val="1"/>
    <w:link w:val="34"/>
    <w:semiHidden/>
    <w:qFormat/>
    <w:uiPriority w:val="99"/>
    <w:rPr>
      <w:sz w:val="18"/>
      <w:szCs w:val="18"/>
    </w:rPr>
  </w:style>
  <w:style w:type="paragraph" w:styleId="8">
    <w:name w:val="footer"/>
    <w:basedOn w:val="1"/>
    <w:link w:val="30"/>
    <w:qFormat/>
    <w:uiPriority w:val="99"/>
    <w:pPr>
      <w:tabs>
        <w:tab w:val="center" w:pos="4153"/>
        <w:tab w:val="right" w:pos="8306"/>
      </w:tabs>
      <w:snapToGrid w:val="0"/>
      <w:jc w:val="left"/>
    </w:pPr>
    <w:rPr>
      <w:sz w:val="18"/>
      <w:szCs w:val="18"/>
    </w:rPr>
  </w:style>
  <w:style w:type="paragraph" w:styleId="9">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4">
    <w:name w:val="Strong"/>
    <w:qFormat/>
    <w:uiPriority w:val="22"/>
    <w:rPr>
      <w:b/>
      <w:bCs/>
    </w:rPr>
  </w:style>
  <w:style w:type="character" w:styleId="15">
    <w:name w:val="page number"/>
    <w:basedOn w:val="13"/>
    <w:qFormat/>
    <w:uiPriority w:val="99"/>
  </w:style>
  <w:style w:type="character" w:styleId="16">
    <w:name w:val="FollowedHyperlink"/>
    <w:unhideWhenUsed/>
    <w:qFormat/>
    <w:uiPriority w:val="99"/>
    <w:rPr>
      <w:color w:val="338DE6"/>
      <w:u w:val="none"/>
    </w:rPr>
  </w:style>
  <w:style w:type="character" w:styleId="17">
    <w:name w:val="Emphasis"/>
    <w:basedOn w:val="13"/>
    <w:qFormat/>
    <w:uiPriority w:val="20"/>
  </w:style>
  <w:style w:type="character" w:styleId="18">
    <w:name w:val="HTML Definition"/>
    <w:basedOn w:val="13"/>
    <w:unhideWhenUsed/>
    <w:qFormat/>
    <w:uiPriority w:val="99"/>
  </w:style>
  <w:style w:type="character" w:styleId="19">
    <w:name w:val="HTML Variable"/>
    <w:basedOn w:val="13"/>
    <w:unhideWhenUsed/>
    <w:qFormat/>
    <w:uiPriority w:val="99"/>
  </w:style>
  <w:style w:type="character" w:styleId="20">
    <w:name w:val="Hyperlink"/>
    <w:unhideWhenUsed/>
    <w:qFormat/>
    <w:uiPriority w:val="99"/>
    <w:rPr>
      <w:color w:val="338DE6"/>
      <w:u w:val="none"/>
    </w:rPr>
  </w:style>
  <w:style w:type="character" w:styleId="21">
    <w:name w:val="HTML Code"/>
    <w:unhideWhenUsed/>
    <w:qFormat/>
    <w:uiPriority w:val="99"/>
    <w:rPr>
      <w:rFonts w:ascii="monospace" w:hAnsi="monospace" w:eastAsia="monospace" w:cs="monospace"/>
      <w:sz w:val="21"/>
      <w:szCs w:val="21"/>
    </w:rPr>
  </w:style>
  <w:style w:type="character" w:styleId="22">
    <w:name w:val="annotation reference"/>
    <w:semiHidden/>
    <w:qFormat/>
    <w:uiPriority w:val="99"/>
    <w:rPr>
      <w:sz w:val="21"/>
      <w:szCs w:val="21"/>
    </w:rPr>
  </w:style>
  <w:style w:type="character" w:styleId="23">
    <w:name w:val="HTML Cite"/>
    <w:basedOn w:val="13"/>
    <w:unhideWhenUsed/>
    <w:qFormat/>
    <w:uiPriority w:val="99"/>
  </w:style>
  <w:style w:type="character" w:styleId="24">
    <w:name w:val="HTML Keyboard"/>
    <w:unhideWhenUsed/>
    <w:qFormat/>
    <w:uiPriority w:val="99"/>
    <w:rPr>
      <w:rFonts w:hint="default" w:ascii="monospace" w:hAnsi="monospace" w:eastAsia="monospace" w:cs="monospace"/>
      <w:sz w:val="21"/>
      <w:szCs w:val="21"/>
    </w:rPr>
  </w:style>
  <w:style w:type="character" w:styleId="25">
    <w:name w:val="HTML Sample"/>
    <w:unhideWhenUsed/>
    <w:qFormat/>
    <w:uiPriority w:val="99"/>
    <w:rPr>
      <w:rFonts w:hint="default" w:ascii="monospace" w:hAnsi="monospace" w:eastAsia="monospace" w:cs="monospace"/>
      <w:sz w:val="21"/>
      <w:szCs w:val="21"/>
    </w:rPr>
  </w:style>
  <w:style w:type="table" w:styleId="27">
    <w:name w:val="Table Grid"/>
    <w:basedOn w:val="2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标题 1 字符"/>
    <w:link w:val="2"/>
    <w:qFormat/>
    <w:uiPriority w:val="0"/>
    <w:rPr>
      <w:rFonts w:ascii="Times New Roman" w:hAnsi="Times New Roman" w:eastAsia="宋体" w:cs="Times New Roman"/>
      <w:b/>
      <w:bCs/>
      <w:kern w:val="44"/>
      <w:sz w:val="44"/>
      <w:szCs w:val="44"/>
    </w:rPr>
  </w:style>
  <w:style w:type="character" w:customStyle="1" w:styleId="29">
    <w:name w:val="页眉 字符"/>
    <w:link w:val="9"/>
    <w:qFormat/>
    <w:uiPriority w:val="99"/>
    <w:rPr>
      <w:sz w:val="18"/>
      <w:szCs w:val="18"/>
    </w:rPr>
  </w:style>
  <w:style w:type="character" w:customStyle="1" w:styleId="30">
    <w:name w:val="页脚 字符"/>
    <w:link w:val="8"/>
    <w:qFormat/>
    <w:uiPriority w:val="99"/>
    <w:rPr>
      <w:sz w:val="18"/>
      <w:szCs w:val="18"/>
    </w:rPr>
  </w:style>
  <w:style w:type="character" w:customStyle="1" w:styleId="31">
    <w:name w:val="日期 字符"/>
    <w:link w:val="6"/>
    <w:semiHidden/>
    <w:qFormat/>
    <w:uiPriority w:val="99"/>
    <w:rPr>
      <w:rFonts w:ascii="Times New Roman" w:hAnsi="Times New Roman" w:eastAsia="宋体" w:cs="Times New Roman"/>
      <w:sz w:val="24"/>
      <w:szCs w:val="24"/>
    </w:rPr>
  </w:style>
  <w:style w:type="paragraph" w:customStyle="1" w:styleId="32">
    <w:name w:val="列出段落1"/>
    <w:basedOn w:val="1"/>
    <w:qFormat/>
    <w:uiPriority w:val="34"/>
    <w:pPr>
      <w:ind w:firstLine="420" w:firstLineChars="200"/>
    </w:pPr>
  </w:style>
  <w:style w:type="character" w:customStyle="1" w:styleId="33">
    <w:name w:val="批注文字 字符"/>
    <w:link w:val="4"/>
    <w:semiHidden/>
    <w:qFormat/>
    <w:uiPriority w:val="99"/>
    <w:rPr>
      <w:rFonts w:ascii="Cambria" w:hAnsi="Cambria" w:eastAsia="MS Mincho" w:cs="Cambria"/>
      <w:kern w:val="0"/>
      <w:sz w:val="24"/>
      <w:szCs w:val="24"/>
    </w:rPr>
  </w:style>
  <w:style w:type="character" w:customStyle="1" w:styleId="34">
    <w:name w:val="批注框文本 字符"/>
    <w:link w:val="7"/>
    <w:semiHidden/>
    <w:qFormat/>
    <w:uiPriority w:val="99"/>
    <w:rPr>
      <w:rFonts w:ascii="Times New Roman" w:hAnsi="Times New Roman" w:eastAsia="宋体" w:cs="Times New Roman"/>
      <w:sz w:val="18"/>
      <w:szCs w:val="18"/>
    </w:rPr>
  </w:style>
  <w:style w:type="paragraph" w:customStyle="1" w:styleId="35">
    <w:name w:val="Char Char Char Char"/>
    <w:basedOn w:val="1"/>
    <w:qFormat/>
    <w:uiPriority w:val="0"/>
  </w:style>
  <w:style w:type="character" w:customStyle="1" w:styleId="36">
    <w:name w:val="文档结构图 字符"/>
    <w:link w:val="5"/>
    <w:semiHidden/>
    <w:qFormat/>
    <w:uiPriority w:val="99"/>
    <w:rPr>
      <w:rFonts w:ascii="宋体" w:eastAsia="宋体" w:cs="宋体"/>
      <w:sz w:val="18"/>
      <w:szCs w:val="18"/>
    </w:rPr>
  </w:style>
  <w:style w:type="character" w:customStyle="1" w:styleId="37">
    <w:name w:val="批注主题 字符"/>
    <w:link w:val="3"/>
    <w:semiHidden/>
    <w:qFormat/>
    <w:uiPriority w:val="99"/>
    <w:rPr>
      <w:rFonts w:ascii="Times New Roman" w:hAnsi="Times New Roman" w:eastAsia="宋体" w:cs="Times New Roman"/>
      <w:b/>
      <w:bCs/>
      <w:kern w:val="0"/>
      <w:sz w:val="24"/>
      <w:szCs w:val="24"/>
    </w:rPr>
  </w:style>
  <w:style w:type="paragraph" w:customStyle="1" w:styleId="3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table" w:customStyle="1" w:styleId="39">
    <w:name w:val="网格型1"/>
    <w:basedOn w:val="2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0">
    <w:name w:val="（一）"/>
    <w:basedOn w:val="1"/>
    <w:qFormat/>
    <w:uiPriority w:val="0"/>
    <w:pPr>
      <w:ind w:firstLine="562" w:firstLineChars="200"/>
    </w:pPr>
    <w:rPr>
      <w:rFonts w:ascii="仿宋_GB2312" w:eastAsia="仿宋_GB2312"/>
      <w:b/>
      <w:sz w:val="28"/>
      <w:szCs w:val="28"/>
    </w:rPr>
  </w:style>
  <w:style w:type="paragraph" w:customStyle="1" w:styleId="41">
    <w:name w:val="报告正文样式"/>
    <w:basedOn w:val="1"/>
    <w:qFormat/>
    <w:uiPriority w:val="0"/>
    <w:pPr>
      <w:widowControl/>
      <w:spacing w:line="440" w:lineRule="exact"/>
      <w:ind w:firstLine="200" w:firstLineChars="200"/>
    </w:pPr>
    <w:rPr>
      <w:rFonts w:ascii="Adobe 宋体 Std L" w:hAnsi="Adobe 宋体 Std L" w:eastAsia="仿宋_GB2312"/>
      <w:kern w:val="0"/>
      <w:sz w:val="24"/>
      <w:szCs w:val="24"/>
    </w:rPr>
  </w:style>
  <w:style w:type="paragraph" w:customStyle="1" w:styleId="42">
    <w:name w:val="f-article-title-tiny"/>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3">
    <w:name w:val="apple-converted-space"/>
    <w:qFormat/>
    <w:uiPriority w:val="0"/>
  </w:style>
  <w:style w:type="character" w:customStyle="1" w:styleId="44">
    <w:name w:val="Char Char2"/>
    <w:qFormat/>
    <w:uiPriority w:val="99"/>
    <w:rPr>
      <w:rFonts w:ascii="Arial" w:hAnsi="Arial" w:eastAsia="黑体"/>
      <w:b/>
      <w:sz w:val="32"/>
      <w:lang w:val="en-US" w:eastAsia="zh-CN"/>
    </w:rPr>
  </w:style>
  <w:style w:type="character" w:customStyle="1" w:styleId="45">
    <w:name w:val="fontstrikethrough"/>
    <w:qFormat/>
    <w:uiPriority w:val="0"/>
    <w:rPr>
      <w:strike/>
    </w:rPr>
  </w:style>
  <w:style w:type="character" w:customStyle="1" w:styleId="46">
    <w:name w:val="fontborder"/>
    <w:qFormat/>
    <w:uiPriority w:val="0"/>
    <w:rPr>
      <w:bdr w:val="single" w:color="000000" w:sz="6" w:space="0"/>
    </w:rPr>
  </w:style>
  <w:style w:type="paragraph" w:customStyle="1" w:styleId="47">
    <w:name w:val="TOC 标题2"/>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
    <w:name w:val="Default"/>
    <w:qFormat/>
    <w:uiPriority w:val="0"/>
    <w:pPr>
      <w:widowControl w:val="0"/>
      <w:autoSpaceDE w:val="0"/>
      <w:autoSpaceDN w:val="0"/>
      <w:adjustRightInd w:val="0"/>
    </w:pPr>
    <w:rPr>
      <w:rFonts w:ascii="仿宋m.." w:hAnsi="Times New Roman" w:eastAsia="仿宋m.." w:cs="仿宋m.."/>
      <w:color w:val="000000"/>
      <w:sz w:val="24"/>
      <w:szCs w:val="24"/>
      <w:lang w:val="en-US" w:eastAsia="zh-CN" w:bidi="ar-SA"/>
    </w:rPr>
  </w:style>
  <w:style w:type="character" w:customStyle="1" w:styleId="49">
    <w:name w:val="bjh-p"/>
    <w:qFormat/>
    <w:uiPriority w:val="0"/>
  </w:style>
  <w:style w:type="character" w:customStyle="1" w:styleId="50">
    <w:name w:val="bjh-strong2"/>
    <w:qFormat/>
    <w:uiPriority w:val="0"/>
    <w:rPr>
      <w:b/>
      <w:bCs/>
      <w:color w:val="333333"/>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72BD8E-57DB-480F-B45D-F59E322766C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38</Pages>
  <Words>2323</Words>
  <Characters>13242</Characters>
  <Lines>110</Lines>
  <Paragraphs>31</Paragraphs>
  <TotalTime>269</TotalTime>
  <ScaleCrop>false</ScaleCrop>
  <LinksUpToDate>false</LinksUpToDate>
  <CharactersWithSpaces>15534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2020-04-03T02:14:00Z</dcterms:created>
  <dc:creator>Lenovo User</dc:creator>
  <cp:lastModifiedBy>张志鹏</cp:lastModifiedBy>
  <cp:lastPrinted>2019-07-29T07:28:00Z</cp:lastPrinted>
  <dcterms:modified xsi:type="dcterms:W3CDTF">2020-05-06T06:23:32Z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