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rPr>
          <w:rFonts w:hint="eastAsia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0" w:name="_Hlk32429990"/>
      <w:r>
        <w:rPr>
          <w:rFonts w:hint="eastAsia" w:ascii="宋体" w:hAnsi="宋体" w:eastAsia="宋体" w:cs="宋体"/>
          <w:b/>
          <w:bCs/>
          <w:sz w:val="32"/>
          <w:szCs w:val="32"/>
        </w:rPr>
        <w:t>2019年钢筋比对试验统计指标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bookmarkEnd w:id="0"/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083"/>
        <w:gridCol w:w="1843"/>
        <w:gridCol w:w="2274"/>
      </w:tblGrid>
      <w:tr>
        <w:tblPrEx>
          <w:tblLayout w:type="fixed"/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参数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下屈服强度R</w:t>
            </w:r>
            <w:r>
              <w:rPr>
                <w:rFonts w:ascii="仿宋" w:hAnsi="仿宋" w:eastAsia="仿宋"/>
                <w:kern w:val="0"/>
                <w:sz w:val="22"/>
                <w:szCs w:val="22"/>
                <w:vertAlign w:val="subscript"/>
              </w:rPr>
              <w:t>eL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MPa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抗拉强度R</w:t>
            </w:r>
            <w:r>
              <w:rPr>
                <w:rFonts w:ascii="仿宋" w:hAnsi="仿宋" w:eastAsia="仿宋"/>
                <w:kern w:val="0"/>
                <w:sz w:val="22"/>
                <w:szCs w:val="22"/>
                <w:vertAlign w:val="subscript"/>
              </w:rPr>
              <w:t>m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（MPa）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最大力总延伸率A</w:t>
            </w:r>
            <w:r>
              <w:rPr>
                <w:rFonts w:ascii="仿宋" w:hAnsi="仿宋" w:eastAsia="仿宋"/>
                <w:kern w:val="0"/>
                <w:sz w:val="22"/>
                <w:szCs w:val="22"/>
                <w:vertAlign w:val="subscript"/>
              </w:rPr>
              <w:t>gt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平均值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617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中位值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616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646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最小值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587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上四分位数(Q</w:t>
            </w:r>
            <w:r>
              <w:rPr>
                <w:rFonts w:ascii="仿宋" w:hAnsi="仿宋" w:eastAsia="仿宋"/>
                <w:kern w:val="0"/>
                <w:sz w:val="22"/>
                <w:szCs w:val="22"/>
                <w:vertAlign w:val="subscript"/>
              </w:rPr>
              <w:t>3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620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下四分位数(Q</w:t>
            </w:r>
            <w:r>
              <w:rPr>
                <w:rFonts w:ascii="仿宋" w:hAnsi="仿宋" w:eastAsia="仿宋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612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标准化四分位间距(NIQR)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7.4130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5.9304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0.8896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统计样本数量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117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65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对于钢筋最大力总延伸率参数，</w:t>
      </w:r>
      <w:r>
        <w:rPr>
          <w:rFonts w:hint="eastAsia" w:ascii="仿宋" w:hAnsi="仿宋" w:eastAsia="仿宋"/>
          <w:lang w:val="en-US" w:eastAsia="zh-CN"/>
        </w:rPr>
        <w:t>仅</w:t>
      </w:r>
      <w:r>
        <w:rPr>
          <w:rFonts w:hint="eastAsia" w:ascii="仿宋" w:hAnsi="仿宋" w:eastAsia="仿宋"/>
        </w:rPr>
        <w:t>对2019年10月31日前获得该参数等级资质能力的7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家机构(详见附件4)的比对结果进行评价。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编号为1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16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74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100</w:t>
      </w:r>
      <w:r>
        <w:rPr>
          <w:rFonts w:hint="eastAsia" w:ascii="仿宋" w:hAnsi="仿宋" w:eastAsia="仿宋"/>
        </w:rPr>
        <w:t>的五家机构钢筋最大力总延伸率</w:t>
      </w:r>
      <w:r>
        <w:rPr>
          <w:rFonts w:ascii="仿宋" w:hAnsi="仿宋" w:eastAsia="仿宋"/>
          <w:kern w:val="0"/>
          <w:sz w:val="24"/>
          <w:szCs w:val="24"/>
        </w:rPr>
        <w:t>A</w:t>
      </w:r>
      <w:r>
        <w:rPr>
          <w:rFonts w:ascii="仿宋" w:hAnsi="仿宋" w:eastAsia="仿宋"/>
          <w:kern w:val="0"/>
          <w:sz w:val="24"/>
          <w:szCs w:val="24"/>
          <w:vertAlign w:val="subscript"/>
        </w:rPr>
        <w:t>gt</w:t>
      </w:r>
      <w:r>
        <w:rPr>
          <w:rFonts w:hint="eastAsia" w:ascii="仿宋" w:hAnsi="仿宋" w:eastAsia="仿宋"/>
        </w:rPr>
        <w:t>测定方法错误，对应参数检测结果未纳入统计分析，钢筋比对结果直接确定为“不满意”。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3.编号为16的机构钢筋屈服强度、抗拉强度结果计算时，采用的公称横截面积错误，对应参数检测结果未纳入统计分析，钢筋比对结果直接确定为“不满意”。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35F6D"/>
    <w:rsid w:val="3E9A5A65"/>
    <w:rsid w:val="537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lenovo094</dc:creator>
  <cp:lastModifiedBy>邓大鹏</cp:lastModifiedBy>
  <dcterms:modified xsi:type="dcterms:W3CDTF">2020-03-02T07:24:06Z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