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9"/>
        <w:rPr>
          <w:rFonts w:hint="eastAsia" w:eastAsia="方正小标宋简体" w:cs="方正小标宋简体" w:asciiTheme="minorHAnsi" w:hAnsiTheme="minorHAnsi"/>
          <w:b w:val="0"/>
          <w:color w:val="000000"/>
          <w:sz w:val="44"/>
          <w:szCs w:val="44"/>
        </w:rPr>
      </w:pPr>
      <w:r>
        <w:rPr>
          <w:rFonts w:hint="eastAsia" w:eastAsia="方正小标宋简体" w:cs="方正小标宋简体" w:asciiTheme="minorHAnsi" w:hAnsiTheme="minorHAnsi"/>
          <w:b w:val="0"/>
          <w:color w:val="000000"/>
          <w:sz w:val="44"/>
          <w:szCs w:val="44"/>
        </w:rPr>
        <w:t>广东省交通运输</w:t>
      </w:r>
      <w:r>
        <w:rPr>
          <w:rFonts w:hint="eastAsia" w:eastAsia="方正小标宋简体" w:cs="方正小标宋简体" w:asciiTheme="minorHAnsi" w:hAnsiTheme="minorHAnsi"/>
          <w:b w:val="0"/>
          <w:color w:val="000000"/>
          <w:sz w:val="44"/>
          <w:szCs w:val="44"/>
          <w:lang w:val="en-US" w:eastAsia="zh-CN"/>
        </w:rPr>
        <w:t>(公路水路)</w:t>
      </w:r>
      <w:r>
        <w:rPr>
          <w:rFonts w:hint="eastAsia" w:eastAsia="方正小标宋简体" w:cs="方正小标宋简体" w:asciiTheme="minorHAnsi" w:hAnsiTheme="minorHAnsi"/>
          <w:b w:val="0"/>
          <w:color w:val="000000"/>
          <w:sz w:val="44"/>
          <w:szCs w:val="44"/>
        </w:rPr>
        <w:t>标准化</w:t>
      </w:r>
    </w:p>
    <w:p>
      <w:pPr>
        <w:spacing w:line="600" w:lineRule="exact"/>
        <w:jc w:val="center"/>
        <w:outlineLvl w:val="9"/>
        <w:rPr>
          <w:rFonts w:hint="eastAsia" w:eastAsia="方正小标宋简体" w:cs="方正小标宋简体" w:asciiTheme="minorHAnsi" w:hAnsiTheme="minorHAnsi"/>
          <w:b w:val="0"/>
          <w:color w:val="000000"/>
          <w:sz w:val="44"/>
          <w:szCs w:val="44"/>
        </w:rPr>
      </w:pPr>
      <w:r>
        <w:rPr>
          <w:rFonts w:hint="eastAsia" w:eastAsia="方正小标宋简体" w:cs="方正小标宋简体" w:asciiTheme="minorHAnsi" w:hAnsiTheme="minorHAnsi"/>
          <w:b w:val="0"/>
          <w:color w:val="000000"/>
          <w:sz w:val="44"/>
          <w:szCs w:val="44"/>
        </w:rPr>
        <w:t>技术委员会章程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utoSpaceDN w:val="0"/>
        <w:jc w:val="center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第一章  总则</w:t>
      </w:r>
    </w:p>
    <w:p>
      <w:pPr>
        <w:autoSpaceDN w:val="0"/>
        <w:jc w:val="center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</w:p>
    <w:p>
      <w:pPr>
        <w:numPr>
          <w:ilvl w:val="1"/>
          <w:numId w:val="1"/>
        </w:numPr>
        <w:autoSpaceDN w:val="0"/>
        <w:adjustRightInd w:val="0"/>
        <w:spacing w:beforeLines="0" w:afterLines="0" w:line="240" w:lineRule="atLeas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根据《中华人民共和国标准化法》《广东省市场监督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局专业标准化技术委员会管理办法》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《交通运输标准化管理办法》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交通运输部关于加强和改进交通运输标准化工作的意见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》（交科技发〔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2014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169号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文件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有关规定，制定本章程。</w:t>
      </w:r>
    </w:p>
    <w:p>
      <w:pPr>
        <w:numPr>
          <w:ilvl w:val="1"/>
          <w:numId w:val="1"/>
        </w:numPr>
        <w:autoSpaceDN w:val="0"/>
        <w:adjustRightInd w:val="0"/>
        <w:spacing w:line="24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为推动全省交通运输专业技术领域标准化工作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的开展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，充分发挥专家在标准化工作中的作用，经广东省市场监督管理局批准，成立广东省交通运输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（公路水路）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标准化技术委员会（以下简称“标委会”）。</w:t>
      </w:r>
    </w:p>
    <w:p>
      <w:pPr>
        <w:numPr>
          <w:ilvl w:val="1"/>
          <w:numId w:val="1"/>
        </w:numPr>
        <w:autoSpaceDN w:val="0"/>
        <w:adjustRightInd w:val="0"/>
        <w:spacing w:line="24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本标委会是在广东省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公路水路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交通运输专业技术领域内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从事标准化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的技术工作组织，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按照有关规定开展相关标准化活动，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负责全省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公路水路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交通运输标准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的技术归口工作。</w:t>
      </w:r>
    </w:p>
    <w:p>
      <w:pPr>
        <w:numPr>
          <w:ilvl w:val="1"/>
          <w:numId w:val="1"/>
        </w:numPr>
        <w:autoSpaceDN w:val="0"/>
        <w:adjustRightInd w:val="0"/>
        <w:spacing w:before="0" w:beforeAutospacing="0" w:after="0" w:afterAutospacing="0" w:line="24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本标委会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由广东省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市场监督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统一管理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广东省交通运输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业务指导。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标委会设秘书处，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负责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标委会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日常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工作，秘书处承担单位为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广东省交通运输规划研究中心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。</w:t>
      </w:r>
    </w:p>
    <w:p>
      <w:pPr>
        <w:numPr>
          <w:ilvl w:val="-1"/>
          <w:numId w:val="0"/>
        </w:numPr>
        <w:tabs>
          <w:tab w:val="left" w:pos="0"/>
        </w:tabs>
        <w:autoSpaceDN w:val="0"/>
        <w:adjustRightInd w:val="0"/>
        <w:spacing w:before="0" w:beforeAutospacing="0" w:after="0" w:afterAutospacing="0" w:line="240" w:lineRule="atLeast"/>
        <w:ind w:leftChars="20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</w:p>
    <w:p>
      <w:pPr>
        <w:autoSpaceDN w:val="0"/>
        <w:adjustRightInd w:val="0"/>
        <w:ind w:firstLine="0" w:firstLineChars="0"/>
        <w:jc w:val="center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第二章  工作任务</w:t>
      </w:r>
    </w:p>
    <w:p>
      <w:pPr>
        <w:numPr>
          <w:ilvl w:val="-1"/>
          <w:numId w:val="0"/>
        </w:numPr>
        <w:tabs>
          <w:tab w:val="left" w:pos="0"/>
        </w:tabs>
        <w:autoSpaceDN w:val="0"/>
        <w:adjustRightInd w:val="0"/>
        <w:spacing w:line="240" w:lineRule="atLeast"/>
        <w:ind w:leftChars="200"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numPr>
          <w:ilvl w:val="1"/>
          <w:numId w:val="1"/>
        </w:numPr>
        <w:autoSpaceDN w:val="0"/>
        <w:adjustRightInd w:val="0"/>
        <w:spacing w:line="24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遵循国家有关方针政策和广东省有关规定，推进全省交通运输标准化工作，提出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我省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公路水路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交通运输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专业领域</w:t>
      </w:r>
      <w:r>
        <w:rPr>
          <w:rFonts w:hint="eastAsia" w:ascii="仿宋_GB2312" w:hAnsi="仿宋_GB2312" w:eastAsia="仿宋_GB2312" w:cs="仿宋_GB2312"/>
          <w:bCs w:val="0"/>
          <w:color w:val="000000"/>
          <w:sz w:val="32"/>
          <w:szCs w:val="32"/>
        </w:rPr>
        <w:t>标准化工作的政策和措施建议</w:t>
      </w:r>
      <w:r>
        <w:rPr>
          <w:rFonts w:hint="eastAsia" w:ascii="仿宋_GB2312" w:hAnsi="仿宋_GB2312" w:eastAsia="仿宋_GB2312" w:cs="仿宋_GB2312"/>
          <w:bCs w:val="0"/>
          <w:color w:val="000000"/>
          <w:sz w:val="32"/>
          <w:szCs w:val="32"/>
          <w:lang w:eastAsia="zh-CN"/>
        </w:rPr>
        <w:t>。</w:t>
      </w:r>
    </w:p>
    <w:p>
      <w:pPr>
        <w:numPr>
          <w:ilvl w:val="1"/>
          <w:numId w:val="1"/>
        </w:numPr>
        <w:autoSpaceDN w:val="0"/>
        <w:adjustRightInd w:val="0"/>
        <w:spacing w:line="240" w:lineRule="atLeas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按照国家、行业和地方制修订标准的原则，结合广东省交通运输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行业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标准化需求，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建立完善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我省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公路水路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交通运输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专业领域标准体系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提出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我省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公路水路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交通运输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专业领域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制订、修订广东省地方标准的规划、年度计划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建议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。</w:t>
      </w:r>
    </w:p>
    <w:p>
      <w:pPr>
        <w:numPr>
          <w:ilvl w:val="1"/>
          <w:numId w:val="1"/>
        </w:numPr>
        <w:autoSpaceDN w:val="0"/>
        <w:adjustRightInd w:val="0"/>
        <w:spacing w:line="24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根据行业发展需要，提出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我省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公路水路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交通运输标准化年度工作计划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建议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公路水路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交通运输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专业领域的各类标准开展定期跟踪与评估，及时发现标准实施过程中存在的问题，提出修订建议。</w:t>
      </w:r>
    </w:p>
    <w:p>
      <w:pPr>
        <w:numPr>
          <w:ilvl w:val="1"/>
          <w:numId w:val="1"/>
        </w:numPr>
        <w:autoSpaceDN w:val="0"/>
        <w:adjustRightInd w:val="0"/>
        <w:spacing w:line="24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广东省市场监督管理局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委托，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根据广东省市场监督管理局批准的计划，组织开展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归口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的交通运输地方标准制修订的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技术审查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及复审工作。</w:t>
      </w:r>
    </w:p>
    <w:p>
      <w:pPr>
        <w:numPr>
          <w:ilvl w:val="1"/>
          <w:numId w:val="1"/>
        </w:numPr>
        <w:autoSpaceDN w:val="0"/>
        <w:adjustRightInd w:val="0"/>
        <w:spacing w:line="24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受广东省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市场监督管理局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、广东省交通运输厅委托，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公路水路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交通运输专业领域国家标准、行业标准及广东省地方标准的宣讲、解释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、培训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承担公路水路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交通运输专业领域标准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实施情况的评估研究分析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numPr>
          <w:ilvl w:val="1"/>
          <w:numId w:val="1"/>
        </w:numPr>
        <w:autoSpaceDN w:val="0"/>
        <w:adjustRightInd w:val="0"/>
        <w:spacing w:line="24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开展与国内外交通运输标准化组织的合作与交流，跟踪和研究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公路水路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交通运输专业领域国际标准、国外先进标准的发展动态，积极参与或承担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公路水路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交通运输专业领域的国内外标准化活动。</w:t>
      </w:r>
    </w:p>
    <w:p>
      <w:pPr>
        <w:numPr>
          <w:ilvl w:val="1"/>
          <w:numId w:val="1"/>
        </w:numPr>
        <w:autoSpaceDN w:val="0"/>
        <w:adjustRightInd w:val="0"/>
        <w:spacing w:line="24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承担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广东省市场监督管理局及广东省交通运输厅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交办的其他工作。</w:t>
      </w:r>
    </w:p>
    <w:p>
      <w:pPr>
        <w:numPr>
          <w:ilvl w:val="1"/>
          <w:numId w:val="1"/>
        </w:numPr>
        <w:autoSpaceDN w:val="0"/>
        <w:adjustRightInd w:val="0"/>
        <w:spacing w:line="24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 w:val="0"/>
          <w:color w:val="000000"/>
          <w:sz w:val="32"/>
          <w:szCs w:val="32"/>
        </w:rPr>
        <w:t>受政府部门、社会团体、企事业单位委托，开展与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公路水路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交通运输</w:t>
      </w:r>
      <w:r>
        <w:rPr>
          <w:rFonts w:hint="eastAsia" w:ascii="仿宋_GB2312" w:hAnsi="仿宋_GB2312" w:eastAsia="仿宋_GB2312" w:cs="仿宋_GB2312"/>
          <w:bCs w:val="0"/>
          <w:color w:val="000000"/>
          <w:sz w:val="32"/>
          <w:szCs w:val="32"/>
        </w:rPr>
        <w:t>专业领域有关的标准化工作。</w:t>
      </w:r>
    </w:p>
    <w:p>
      <w:pPr>
        <w:numPr>
          <w:ilvl w:val="-1"/>
          <w:numId w:val="0"/>
        </w:numPr>
        <w:tabs>
          <w:tab w:val="left" w:pos="0"/>
        </w:tabs>
        <w:autoSpaceDN w:val="0"/>
        <w:adjustRightInd w:val="0"/>
        <w:spacing w:line="240" w:lineRule="atLeast"/>
        <w:ind w:leftChars="0"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autoSpaceDN w:val="0"/>
        <w:adjustRightInd w:val="0"/>
        <w:ind w:firstLine="0" w:firstLineChars="0"/>
        <w:jc w:val="center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第三章  组织机构</w:t>
      </w:r>
    </w:p>
    <w:p>
      <w:pPr>
        <w:numPr>
          <w:ilvl w:val="-1"/>
          <w:numId w:val="0"/>
        </w:numPr>
        <w:tabs>
          <w:tab w:val="left" w:pos="0"/>
        </w:tabs>
        <w:autoSpaceDN w:val="0"/>
        <w:adjustRightInd w:val="0"/>
        <w:spacing w:line="240" w:lineRule="atLeast"/>
        <w:ind w:leftChars="0"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numPr>
          <w:ilvl w:val="1"/>
          <w:numId w:val="1"/>
        </w:numPr>
        <w:autoSpaceDN w:val="0"/>
        <w:adjustRightInd w:val="0"/>
        <w:spacing w:line="24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标委会由交通运输专业领域的建设、运营、设计、勘察、检测、施工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运输管理等相关企事业单位、科研教学机构和行业协（学）会等选派的专家组成，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每届技术委员会任期五年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组成方案由广东省市场监督管理局审查批准。</w:t>
      </w:r>
    </w:p>
    <w:p>
      <w:pPr>
        <w:numPr>
          <w:ilvl w:val="1"/>
          <w:numId w:val="1"/>
        </w:numPr>
        <w:autoSpaceDN w:val="0"/>
        <w:adjustRightInd w:val="0"/>
        <w:spacing w:line="24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标委会共设委员不少于</w:t>
      </w:r>
      <w:r>
        <w:rPr>
          <w:rFonts w:hint="eastAsia" w:ascii="仿宋_GB2312" w:hAnsi="仿宋_GB2312" w:eastAsia="仿宋_GB2312" w:cs="仿宋_GB2312"/>
          <w:sz w:val="32"/>
          <w:szCs w:val="32"/>
        </w:rPr>
        <w:t>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其中主任委员1名，副主任委员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名；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标委会秘书处设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秘书长1名，副秘书长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名，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若干名，其中2名以上为专职工作人员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。必要时将聘请在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交通运输行业内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享有盛誉的专家、学者担任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标委会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的顾问。</w:t>
      </w:r>
    </w:p>
    <w:p>
      <w:pPr>
        <w:widowControl/>
        <w:numPr>
          <w:ilvl w:val="1"/>
          <w:numId w:val="1"/>
        </w:numPr>
        <w:autoSpaceDN w:val="0"/>
        <w:adjustRightInd w:val="0"/>
        <w:spacing w:line="24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主任委员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、副主任委员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由广东省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交通运输厅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推荐，经协商一致后由广东省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市场监督局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审核批准，任期五年。</w:t>
      </w:r>
    </w:p>
    <w:p>
      <w:pPr>
        <w:widowControl w:val="0"/>
        <w:adjustRightInd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秘书长（副秘书长）由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秘书处承担单位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推荐，由广东省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市场监督局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审核批准，任期五年。</w:t>
      </w:r>
    </w:p>
    <w:p>
      <w:pPr>
        <w:widowControl w:val="0"/>
        <w:adjustRightIn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委员和顾问由热爱标准化工作的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交通运输行业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专业人员或单位自我推荐，由广东省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市场监督局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审核批准，任期五年。</w:t>
      </w:r>
    </w:p>
    <w:p>
      <w:pPr>
        <w:widowControl/>
        <w:numPr>
          <w:ilvl w:val="1"/>
          <w:numId w:val="1"/>
        </w:numPr>
        <w:autoSpaceDN w:val="0"/>
        <w:adjustRightInd w:val="0"/>
        <w:spacing w:line="24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主任委员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主持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标委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会的全面工作，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副主任委员协助主任委员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开展标委会的相关管理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工作，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秘书长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主持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秘书处的日常工作。</w:t>
      </w:r>
    </w:p>
    <w:p>
      <w:pPr>
        <w:numPr>
          <w:ilvl w:val="1"/>
          <w:numId w:val="1"/>
        </w:numPr>
        <w:autoSpaceDN w:val="0"/>
        <w:adjustRightInd w:val="0"/>
        <w:spacing w:line="240" w:lineRule="atLeas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委员应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遵守标委会的章程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积极参加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标委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的工作。对不履行职责，无故两次以上不参加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标委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活动，或因工作变动不适宜继续担任委员者，由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标委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提出调整或解聘的建议，并报广东省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市场监督局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审核批准。需增补的委员由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标委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推荐人选，报广东省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市场监督局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审核批准。委员在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标委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内有表决权，并有权获得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标委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的资料和文件。</w:t>
      </w:r>
    </w:p>
    <w:p>
      <w:pPr>
        <w:widowControl/>
        <w:numPr>
          <w:ilvl w:val="1"/>
          <w:numId w:val="1"/>
        </w:numPr>
        <w:autoSpaceDN w:val="0"/>
        <w:adjustRightInd w:val="0"/>
        <w:spacing w:line="24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eastAsia="zh-CN"/>
        </w:rPr>
        <w:t>标委会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</w:rPr>
        <w:t>秘书处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/>
        </w:rPr>
        <w:t>承担单位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</w:rPr>
        <w:t>受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广东省市场监督局及广东省交通运输厅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</w:rPr>
        <w:t>委托，指导和管理秘书处工作，委派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/>
        </w:rPr>
        <w:t>满足秘书处工作需要的标准化专业人才担任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</w:rPr>
        <w:t>工作人员，为秘书处提供必要的工作条件。秘书处的工作应纳入单位的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/>
        </w:rPr>
        <w:t>日常性工作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</w:rPr>
        <w:t>。秘书处在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/>
        </w:rPr>
        <w:t>标委会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</w:rPr>
        <w:t>主任委员和秘书长领导下，负责处理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eastAsia="zh-CN"/>
        </w:rPr>
        <w:t>标委会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</w:rPr>
        <w:t>的日常工作，包括标准草案的分发和反馈意见处理、会议准备、各相关报告编写、标准报批等。</w:t>
      </w:r>
    </w:p>
    <w:p>
      <w:pPr>
        <w:numPr>
          <w:ilvl w:val="1"/>
          <w:numId w:val="1"/>
        </w:numPr>
        <w:autoSpaceDN w:val="0"/>
        <w:adjustRightInd w:val="0"/>
        <w:spacing w:line="24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根据工作需要，标委会可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设分技术委员会，分技术委员会的设置和组建，由标委会提出方案，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广东省交通运输厅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审查同意后，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报广东省市场监督管理局批准。各分技术委员会在广东省交通运输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（公路水路）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标准化技术委员会领导下开展工作，并遵守本章程。</w:t>
      </w:r>
    </w:p>
    <w:p>
      <w:pPr>
        <w:numPr>
          <w:ilvl w:val="1"/>
          <w:numId w:val="1"/>
        </w:numPr>
        <w:autoSpaceDN w:val="0"/>
        <w:adjustRightInd w:val="0"/>
        <w:spacing w:line="24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标委会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每年召开一次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，总结上年度工作，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安排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下年度工作计划，通报经费使用情况等。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全体委员应当参加年会。标委会可以根据需要定期或不定期召开会议，组织开展标准化活动，研究处理标准化相关工作。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标委会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每年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11月底前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广东省市场监督管理局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报送本年度工作总结，同时抄送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广东省交通运输厅。</w:t>
      </w:r>
    </w:p>
    <w:p>
      <w:pPr>
        <w:numPr>
          <w:ilvl w:val="-1"/>
          <w:numId w:val="0"/>
        </w:numPr>
        <w:tabs>
          <w:tab w:val="left" w:pos="0"/>
        </w:tabs>
        <w:autoSpaceDN w:val="0"/>
        <w:adjustRightInd w:val="0"/>
        <w:spacing w:line="240" w:lineRule="atLeast"/>
        <w:ind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autoSpaceDN w:val="0"/>
        <w:adjustRightInd w:val="0"/>
        <w:ind w:firstLine="0" w:firstLineChars="0"/>
        <w:jc w:val="center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第四章  工作程序</w:t>
      </w:r>
    </w:p>
    <w:p>
      <w:pPr>
        <w:numPr>
          <w:ilvl w:val="-1"/>
          <w:numId w:val="0"/>
        </w:numPr>
        <w:tabs>
          <w:tab w:val="left" w:pos="0"/>
        </w:tabs>
        <w:autoSpaceDN w:val="0"/>
        <w:adjustRightInd w:val="0"/>
        <w:spacing w:line="240" w:lineRule="atLeast"/>
        <w:ind w:leftChars="0"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numPr>
          <w:ilvl w:val="1"/>
          <w:numId w:val="1"/>
        </w:numPr>
        <w:autoSpaceDN w:val="0"/>
        <w:adjustRightInd w:val="0"/>
        <w:spacing w:line="24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标委会根据广东省市场监督管理局制修订标准计划要求，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结合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广东省交通运输厅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管理工作实际需求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提出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我省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交通运输地方标准项目制修订计划建议，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广东省交通运输厅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审查同意后，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报送广东省市场监督管理局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批准后列入地方标准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制修订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计划。</w:t>
      </w:r>
    </w:p>
    <w:p>
      <w:pPr>
        <w:adjustRightInd w:val="0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我省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交通运输行业内有关单位提出的标准制修订立项申请，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由广东省交通运输厅委托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标委会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初步审查。</w:t>
      </w:r>
    </w:p>
    <w:p>
      <w:pPr>
        <w:numPr>
          <w:ilvl w:val="1"/>
          <w:numId w:val="1"/>
        </w:numPr>
        <w:autoSpaceDN w:val="0"/>
        <w:adjustRightInd w:val="0"/>
        <w:spacing w:line="240" w:lineRule="atLeast"/>
        <w:ind w:firstLine="640" w:firstLineChars="200"/>
        <w:rPr>
          <w:rFonts w:hint="eastAsia" w:ascii="仿宋_GB2312" w:hAnsi="仿宋_GB2312" w:eastAsia="仿宋_GB2312" w:cs="仿宋_GB2312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标委会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广东省市场监督管理局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下达的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地方标准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制修订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计划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，协助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组织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计划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实施，指导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督促标准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主要起草单位进行标准的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制修订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。</w:t>
      </w:r>
    </w:p>
    <w:p>
      <w:pPr>
        <w:numPr>
          <w:ilvl w:val="1"/>
          <w:numId w:val="1"/>
        </w:numPr>
        <w:autoSpaceDN w:val="0"/>
        <w:adjustRightInd w:val="0"/>
        <w:spacing w:line="24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/>
        </w:rPr>
        <w:t>标委会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eastAsia="zh-CN"/>
        </w:rPr>
        <w:t>秘书处组织对</w:t>
      </w:r>
      <w:r>
        <w:rPr>
          <w:rFonts w:hint="eastAsia" w:ascii="仿宋_GB2312" w:hAnsi="仿宋_GB2312" w:eastAsia="仿宋_GB2312" w:cs="仿宋_GB2312"/>
          <w:bCs w:val="0"/>
          <w:color w:val="000000"/>
          <w:sz w:val="32"/>
          <w:szCs w:val="32"/>
          <w:lang w:val="en-US" w:eastAsia="zh-CN"/>
        </w:rPr>
        <w:t>列入年度计划的</w:t>
      </w:r>
      <w:r>
        <w:rPr>
          <w:rFonts w:hint="eastAsia" w:ascii="仿宋_GB2312" w:hAnsi="仿宋_GB2312" w:eastAsia="仿宋_GB2312" w:cs="仿宋_GB2312"/>
          <w:bCs w:val="0"/>
          <w:color w:val="000000"/>
          <w:sz w:val="32"/>
          <w:szCs w:val="32"/>
        </w:rPr>
        <w:t>标准</w:t>
      </w:r>
      <w:r>
        <w:rPr>
          <w:rFonts w:hint="eastAsia" w:ascii="仿宋_GB2312" w:hAnsi="仿宋_GB2312" w:eastAsia="仿宋_GB2312" w:cs="仿宋_GB2312"/>
          <w:bCs w:val="0"/>
          <w:color w:val="000000"/>
          <w:sz w:val="32"/>
          <w:szCs w:val="32"/>
          <w:lang w:val="en-US" w:eastAsia="zh-CN"/>
        </w:rPr>
        <w:t>的编制大纲（包括工作大纲和编写大纲）进行专家审查，确定标准的主要编制内容、工作方案、编制单位及编制审查人员、编制进度等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numPr>
          <w:ilvl w:val="1"/>
          <w:numId w:val="1"/>
        </w:numPr>
        <w:autoSpaceDN w:val="0"/>
        <w:adjustRightInd w:val="0"/>
        <w:spacing w:line="240" w:lineRule="atLeast"/>
        <w:ind w:firstLine="640" w:firstLineChars="200"/>
        <w:rPr>
          <w:rFonts w:hint="eastAsia" w:ascii="仿宋_GB2312" w:hAnsi="仿宋_GB2312" w:eastAsia="仿宋_GB2312" w:cs="仿宋_GB2312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 w:val="0"/>
          <w:color w:val="000000"/>
          <w:sz w:val="32"/>
          <w:szCs w:val="32"/>
          <w:lang w:val="en-US" w:eastAsia="zh-CN"/>
        </w:rPr>
        <w:t>形成</w:t>
      </w:r>
      <w:r>
        <w:rPr>
          <w:rFonts w:hint="eastAsia" w:ascii="仿宋_GB2312" w:hAnsi="仿宋_GB2312" w:eastAsia="仿宋_GB2312" w:cs="仿宋_GB2312"/>
          <w:bCs w:val="0"/>
          <w:color w:val="000000"/>
          <w:sz w:val="32"/>
          <w:szCs w:val="32"/>
        </w:rPr>
        <w:t>标准征求意见稿</w:t>
      </w:r>
      <w:r>
        <w:rPr>
          <w:rFonts w:hint="eastAsia" w:ascii="仿宋_GB2312" w:hAnsi="仿宋_GB2312" w:eastAsia="仿宋_GB2312" w:cs="仿宋_GB2312"/>
          <w:bCs w:val="0"/>
          <w:color w:val="000000"/>
          <w:sz w:val="32"/>
          <w:szCs w:val="32"/>
          <w:lang w:val="en-US" w:eastAsia="zh-CN"/>
        </w:rPr>
        <w:t>后，由</w:t>
      </w:r>
      <w:r>
        <w:rPr>
          <w:rFonts w:hint="eastAsia" w:ascii="仿宋_GB2312" w:hAnsi="仿宋_GB2312" w:eastAsia="仿宋_GB2312" w:cs="仿宋_GB2312"/>
          <w:bCs w:val="0"/>
          <w:color w:val="000000"/>
          <w:sz w:val="32"/>
          <w:szCs w:val="32"/>
        </w:rPr>
        <w:t>标准主要起草单位</w:t>
      </w:r>
      <w:r>
        <w:rPr>
          <w:rFonts w:hint="eastAsia" w:ascii="仿宋_GB2312" w:hAnsi="仿宋_GB2312" w:eastAsia="仿宋_GB2312" w:cs="仿宋_GB2312"/>
          <w:bCs w:val="0"/>
          <w:color w:val="000000"/>
          <w:sz w:val="32"/>
          <w:szCs w:val="32"/>
          <w:lang w:val="en-US" w:eastAsia="zh-CN"/>
        </w:rPr>
        <w:t>提交标委会审查，经征求</w:t>
      </w:r>
      <w:r>
        <w:rPr>
          <w:rFonts w:hint="eastAsia" w:ascii="仿宋_GB2312" w:hAnsi="仿宋_GB2312" w:eastAsia="仿宋_GB2312" w:cs="仿宋_GB2312"/>
          <w:bCs w:val="0"/>
          <w:color w:val="000000"/>
          <w:sz w:val="32"/>
          <w:szCs w:val="32"/>
        </w:rPr>
        <w:t>有关委员以及有代表性的单位和个人意见</w:t>
      </w:r>
      <w:r>
        <w:rPr>
          <w:rFonts w:hint="eastAsia" w:ascii="仿宋_GB2312" w:hAnsi="仿宋_GB2312" w:eastAsia="仿宋_GB2312" w:cs="仿宋_GB2312"/>
          <w:bCs w:val="0"/>
          <w:color w:val="000000"/>
          <w:sz w:val="32"/>
          <w:szCs w:val="32"/>
          <w:lang w:val="en-US" w:eastAsia="zh-CN"/>
        </w:rPr>
        <w:t>后形成标准送审稿，由标准主要起草单位</w:t>
      </w:r>
      <w:r>
        <w:rPr>
          <w:rFonts w:hint="eastAsia" w:ascii="仿宋_GB2312" w:hAnsi="仿宋_GB2312" w:eastAsia="仿宋_GB2312" w:cs="仿宋_GB2312"/>
          <w:bCs w:val="0"/>
          <w:color w:val="000000"/>
          <w:sz w:val="32"/>
          <w:szCs w:val="32"/>
        </w:rPr>
        <w:t>报送</w:t>
      </w:r>
      <w:r>
        <w:rPr>
          <w:rFonts w:hint="eastAsia" w:ascii="仿宋_GB2312" w:hAnsi="仿宋_GB2312" w:eastAsia="仿宋_GB2312" w:cs="仿宋_GB2312"/>
          <w:bCs w:val="0"/>
          <w:color w:val="000000"/>
          <w:sz w:val="32"/>
          <w:szCs w:val="32"/>
          <w:lang w:val="en-US" w:eastAsia="zh-CN"/>
        </w:rPr>
        <w:t>标委会</w:t>
      </w:r>
      <w:r>
        <w:rPr>
          <w:rFonts w:hint="eastAsia" w:ascii="仿宋_GB2312" w:hAnsi="仿宋_GB2312" w:eastAsia="仿宋_GB2312" w:cs="仿宋_GB2312"/>
          <w:bCs w:val="0"/>
          <w:color w:val="000000"/>
          <w:sz w:val="32"/>
          <w:szCs w:val="32"/>
        </w:rPr>
        <w:t>秘书处。征求意见时间一般为</w:t>
      </w:r>
      <w:r>
        <w:rPr>
          <w:rFonts w:hint="eastAsia" w:ascii="仿宋_GB2312" w:hAnsi="仿宋_GB2312" w:eastAsia="仿宋_GB2312" w:cs="仿宋_GB2312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 w:val="0"/>
          <w:color w:val="000000"/>
          <w:sz w:val="32"/>
          <w:szCs w:val="32"/>
        </w:rPr>
        <w:t>个月。</w:t>
      </w:r>
    </w:p>
    <w:p>
      <w:pPr>
        <w:numPr>
          <w:ilvl w:val="1"/>
          <w:numId w:val="1"/>
        </w:numPr>
        <w:autoSpaceDN w:val="0"/>
        <w:adjustRightInd w:val="0"/>
        <w:snapToGrid/>
        <w:spacing w:before="0" w:beforeLines="-2147483648" w:line="240" w:lineRule="atLeas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/>
        </w:rPr>
        <w:t>标委会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eastAsia="zh-CN"/>
        </w:rPr>
        <w:t>秘书处组织对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</w:rPr>
        <w:t>标准送审稿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eastAsia="zh-CN"/>
        </w:rPr>
        <w:t>进行专家审查，对标准文本进行逐条审查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/>
        </w:rPr>
        <w:t>，形成书面审查意见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eastAsia="zh-CN"/>
        </w:rPr>
        <w:t>。标准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起草单位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/>
        </w:rPr>
        <w:t>审查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eastAsia="zh-CN"/>
        </w:rPr>
        <w:t>意见对标准送审稿进行修改完善后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/>
        </w:rPr>
        <w:t>报送标委会秘书处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eastAsia="zh-CN"/>
        </w:rPr>
        <w:t>，秘书处将标准送审稿报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</w:rPr>
        <w:t>主任委员初审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/>
        </w:rPr>
        <w:t>主任委员可授权副主任委员进行标准送审稿的初审，并形成审查意见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eastAsia="zh-CN"/>
        </w:rPr>
        <w:t>。</w:t>
      </w:r>
    </w:p>
    <w:p>
      <w:pPr>
        <w:numPr>
          <w:ilvl w:val="1"/>
          <w:numId w:val="1"/>
        </w:numPr>
        <w:autoSpaceDN w:val="0"/>
        <w:adjustRightInd w:val="0"/>
        <w:snapToGrid/>
        <w:spacing w:before="0" w:beforeLines="-2147483648" w:line="240" w:lineRule="atLeas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主任委员初审后，秘书处组织全体委员进行审查投票。投票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</w:rPr>
        <w:t>表决时，参加投票的委员不得少于全体委员的四分之三，参加投票委员三分之二以上赞成，且反对意见不超过参加投票委员的四分之一，方可通过。对有分歧意见的标准或条款，须有不同观点的论证材料。审查标准的投票情况应以书面材料记录在案，作为标准审查意见说明的附件。</w:t>
      </w:r>
    </w:p>
    <w:p>
      <w:pPr>
        <w:numPr>
          <w:ilvl w:val="1"/>
          <w:numId w:val="1"/>
        </w:numPr>
        <w:autoSpaceDN w:val="0"/>
        <w:adjustRightInd w:val="0"/>
        <w:spacing w:line="240" w:lineRule="atLeas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审查通过的标准送审稿，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由标准主要起草单位根据审查意见进行修改，按要求提出标准报批稿，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报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标委会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秘书处。标准主要起草单位应对标准报批稿的技术内容和编写质量负责。</w:t>
      </w:r>
    </w:p>
    <w:p>
      <w:pPr>
        <w:numPr>
          <w:ilvl w:val="1"/>
          <w:numId w:val="1"/>
        </w:numPr>
        <w:autoSpaceDN w:val="0"/>
        <w:adjustRightInd w:val="0"/>
        <w:spacing w:line="24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标准报批稿经秘书处复核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送主任委员或副主任委员审核，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广东省交通运输厅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审查同意后，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加盖标委会印章，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按规定程序报广东省市场监督管理局批准发布。</w:t>
      </w:r>
    </w:p>
    <w:p>
      <w:pPr>
        <w:numPr>
          <w:ilvl w:val="-1"/>
          <w:numId w:val="0"/>
        </w:numPr>
        <w:tabs>
          <w:tab w:val="left" w:pos="0"/>
        </w:tabs>
        <w:autoSpaceDN w:val="0"/>
        <w:adjustRightInd w:val="0"/>
        <w:spacing w:line="240" w:lineRule="atLeast"/>
        <w:ind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autoSpaceDN w:val="0"/>
        <w:adjustRightInd w:val="0"/>
        <w:ind w:firstLine="0" w:firstLineChars="0"/>
        <w:jc w:val="center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第五章  经费</w:t>
      </w:r>
    </w:p>
    <w:p>
      <w:pPr>
        <w:numPr>
          <w:ilvl w:val="-1"/>
          <w:numId w:val="0"/>
        </w:numPr>
        <w:tabs>
          <w:tab w:val="left" w:pos="0"/>
        </w:tabs>
        <w:autoSpaceDN w:val="0"/>
        <w:adjustRightInd w:val="0"/>
        <w:spacing w:line="240" w:lineRule="atLeast"/>
        <w:ind w:leftChars="0"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numPr>
          <w:ilvl w:val="1"/>
          <w:numId w:val="1"/>
        </w:numPr>
        <w:autoSpaceDN w:val="0"/>
        <w:adjustRightInd w:val="0"/>
        <w:spacing w:line="240" w:lineRule="atLeas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标委会的经费按照依法依规管理、专款专用的原则筹集和开支。秘书处负责经费财务的管理。</w:t>
      </w:r>
    </w:p>
    <w:p>
      <w:pPr>
        <w:numPr>
          <w:ilvl w:val="1"/>
          <w:numId w:val="1"/>
        </w:numPr>
        <w:autoSpaceDN w:val="0"/>
        <w:adjustRightInd w:val="0"/>
        <w:spacing w:line="240" w:lineRule="atLeas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标委会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的经费主要来源于：</w:t>
      </w:r>
    </w:p>
    <w:p>
      <w:pPr>
        <w:adjustRightInd w:val="0"/>
        <w:snapToGrid w:val="0"/>
        <w:spacing w:before="109" w:beforeLines="35" w:line="324" w:lineRule="auto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广东省市场监督管理局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广东省交通运输厅等部门提供的支助经费；</w:t>
      </w:r>
    </w:p>
    <w:p>
      <w:pPr>
        <w:adjustRightInd w:val="0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主任委员和秘书长所在单位提供适当的补助经费；</w:t>
      </w:r>
    </w:p>
    <w:p>
      <w:pPr>
        <w:adjustRightInd w:val="0"/>
        <w:snapToGrid w:val="0"/>
        <w:spacing w:before="109" w:beforeLines="35" w:line="324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其他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有关方对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</w:rPr>
        <w:t>标准化工作的资助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eastAsia="zh-CN"/>
        </w:rPr>
        <w:t>费用。</w:t>
      </w:r>
    </w:p>
    <w:p>
      <w:pPr>
        <w:numPr>
          <w:ilvl w:val="1"/>
          <w:numId w:val="1"/>
        </w:numPr>
        <w:autoSpaceDN w:val="0"/>
        <w:adjustRightInd w:val="0"/>
        <w:spacing w:line="240" w:lineRule="atLeas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标委会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的工作经费主要用途：</w:t>
      </w:r>
    </w:p>
    <w:p>
      <w:pPr>
        <w:adjustRightInd w:val="0"/>
        <w:snapToGrid w:val="0"/>
        <w:spacing w:before="109" w:beforeLines="35" w:line="324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标委会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会议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、培训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等活动费用；</w:t>
      </w:r>
    </w:p>
    <w:p>
      <w:pPr>
        <w:adjustRightInd w:val="0"/>
        <w:snapToGrid w:val="0"/>
        <w:spacing w:before="109" w:beforeLines="35" w:line="324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2.标委会（秘书处）相关管理工作费用；</w:t>
      </w:r>
    </w:p>
    <w:p>
      <w:pPr>
        <w:adjustRightInd w:val="0"/>
        <w:snapToGrid w:val="0"/>
        <w:spacing w:before="109" w:beforeLines="35" w:line="324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标准编、审费，出版物编辑等稿酬和人员劳务等费用；</w:t>
      </w:r>
    </w:p>
    <w:p>
      <w:pPr>
        <w:adjustRightInd w:val="0"/>
        <w:snapToGrid w:val="0"/>
        <w:spacing w:before="109" w:beforeLines="35" w:line="324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4.向委员及有关单位提供资料所需的费用；</w:t>
      </w:r>
    </w:p>
    <w:p>
      <w:pPr>
        <w:adjustRightInd w:val="0"/>
        <w:snapToGrid w:val="0"/>
        <w:spacing w:before="109" w:beforeLines="35" w:line="324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标委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会工作做出较大成绩的委员给予奖励和表彰；</w:t>
      </w:r>
    </w:p>
    <w:p>
      <w:pPr>
        <w:adjustRightInd w:val="0"/>
        <w:snapToGrid w:val="0"/>
        <w:spacing w:before="109" w:beforeLines="35" w:line="324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6.参加国内外标准化活动的费用。</w:t>
      </w:r>
    </w:p>
    <w:p>
      <w:pPr>
        <w:adjustRightInd w:val="0"/>
        <w:snapToGrid/>
        <w:spacing w:before="0" w:beforeLines="-2147483648" w:line="24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秘书处应该规范经费使用，经费中每项开支应由经办人提出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指定专人审核，秘书长签字审批后方可支出。</w:t>
      </w:r>
    </w:p>
    <w:p>
      <w:pPr>
        <w:numPr>
          <w:ilvl w:val="1"/>
          <w:numId w:val="1"/>
        </w:numPr>
        <w:autoSpaceDN w:val="0"/>
        <w:adjustRightInd w:val="0"/>
        <w:spacing w:line="240" w:lineRule="atLeas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标委会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秘书处承担单位应当严格按照有关财务制度的规定，将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标委会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工作经费纳入单位财务统一管理，单独核算，确保专款专用。</w:t>
      </w:r>
    </w:p>
    <w:p>
      <w:pPr>
        <w:adjustRightInd w:val="0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标委会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经费的预、决算应当由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标委会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审定，秘书处执行。秘书处每年应当向全体委员报告经费收支情况。</w:t>
      </w:r>
    </w:p>
    <w:p>
      <w:pPr>
        <w:adjustRightInd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utoSpaceDN w:val="0"/>
        <w:adjustRightInd w:val="0"/>
        <w:ind w:firstLine="0" w:firstLineChars="0"/>
        <w:jc w:val="center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第六章  附则</w:t>
      </w:r>
    </w:p>
    <w:p>
      <w:pPr>
        <w:numPr>
          <w:ilvl w:val="-1"/>
          <w:numId w:val="0"/>
        </w:numPr>
        <w:tabs>
          <w:tab w:val="left" w:pos="0"/>
        </w:tabs>
        <w:autoSpaceDN w:val="0"/>
        <w:adjustRightInd w:val="0"/>
        <w:spacing w:line="240" w:lineRule="atLeast"/>
        <w:ind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numPr>
          <w:ilvl w:val="1"/>
          <w:numId w:val="1"/>
        </w:numPr>
        <w:autoSpaceDN w:val="0"/>
        <w:adjustRightInd w:val="0"/>
        <w:spacing w:line="24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广东省交通运输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（公路水路）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标准化技术委员会的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代号为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GD/TC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133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numPr>
          <w:ilvl w:val="1"/>
          <w:numId w:val="1"/>
        </w:numPr>
        <w:autoSpaceDN w:val="0"/>
        <w:adjustRightInd w:val="0"/>
        <w:spacing w:line="24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章程由广东省交通运输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（公路水路）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标准化技术委员会秘书处负责解释。未尽事宜，依据广东省市场监督管理局有关规定办理。</w:t>
      </w:r>
    </w:p>
    <w:p>
      <w:pPr>
        <w:numPr>
          <w:ilvl w:val="1"/>
          <w:numId w:val="1"/>
        </w:numPr>
        <w:autoSpaceDN w:val="0"/>
        <w:adjustRightInd w:val="0"/>
        <w:spacing w:line="240" w:lineRule="atLeas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本章程自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发布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之日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实施。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10235114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D85AD"/>
    <w:multiLevelType w:val="multilevel"/>
    <w:tmpl w:val="5DAD85AD"/>
    <w:lvl w:ilvl="0" w:tentative="0">
      <w:start w:val="1"/>
      <w:numFmt w:val="chineseCounting"/>
      <w:suff w:val="nothing"/>
      <w:lvlText w:val="第%1章　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第%2条　"/>
      <w:lvlJc w:val="left"/>
      <w:pPr>
        <w:tabs>
          <w:tab w:val="left" w:pos="0"/>
        </w:tabs>
        <w:ind w:left="0" w:firstLine="402"/>
      </w:pPr>
      <w:rPr>
        <w:rFonts w:hint="eastAsia" w:ascii="宋体" w:hAnsi="宋体" w:eastAsia="仿宋_GB2312" w:cs="宋体"/>
        <w:b/>
        <w:bCs/>
      </w:rPr>
    </w:lvl>
    <w:lvl w:ilvl="2" w:tentative="0">
      <w:start w:val="1"/>
      <w:numFmt w:val="chineseCounting"/>
      <w:suff w:val="nothing"/>
      <w:lvlText w:val="第%3条　"/>
      <w:lvlJc w:val="left"/>
      <w:pPr>
        <w:ind w:left="0" w:firstLine="402"/>
      </w:pPr>
      <w:rPr>
        <w:rFonts w:hint="eastAsia"/>
      </w:rPr>
    </w:lvl>
    <w:lvl w:ilvl="3" w:tentative="0">
      <w:start w:val="1"/>
      <w:numFmt w:val="chineseCounting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．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（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decimalEnclosedCircleChinese"/>
      <w:suff w:val="nothing"/>
      <w:lvlText w:val="%7 "/>
      <w:lvlJc w:val="left"/>
      <w:pPr>
        <w:ind w:left="0" w:firstLine="402"/>
      </w:pPr>
      <w:rPr>
        <w:rFonts w:hint="eastAsia"/>
      </w:rPr>
    </w:lvl>
    <w:lvl w:ilvl="7" w:tentative="0">
      <w:start w:val="1"/>
      <w:numFmt w:val="decimal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Letter"/>
      <w:suff w:val="nothing"/>
      <w:lvlText w:val="%9．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4804"/>
    <w:rsid w:val="00032A06"/>
    <w:rsid w:val="00033AFA"/>
    <w:rsid w:val="00076FC2"/>
    <w:rsid w:val="000820C5"/>
    <w:rsid w:val="00087A2E"/>
    <w:rsid w:val="000A6700"/>
    <w:rsid w:val="000B2DC4"/>
    <w:rsid w:val="000C5D71"/>
    <w:rsid w:val="000D5D71"/>
    <w:rsid w:val="000E46B0"/>
    <w:rsid w:val="00107B94"/>
    <w:rsid w:val="00123F14"/>
    <w:rsid w:val="00143198"/>
    <w:rsid w:val="0014480F"/>
    <w:rsid w:val="00144AEE"/>
    <w:rsid w:val="00152065"/>
    <w:rsid w:val="0015417F"/>
    <w:rsid w:val="00156598"/>
    <w:rsid w:val="001857CB"/>
    <w:rsid w:val="00191DF4"/>
    <w:rsid w:val="001A2FEB"/>
    <w:rsid w:val="002113D9"/>
    <w:rsid w:val="00215EBB"/>
    <w:rsid w:val="00226A2F"/>
    <w:rsid w:val="00235740"/>
    <w:rsid w:val="00256A84"/>
    <w:rsid w:val="002965D3"/>
    <w:rsid w:val="00296E2A"/>
    <w:rsid w:val="002A0904"/>
    <w:rsid w:val="002A429A"/>
    <w:rsid w:val="002A5B01"/>
    <w:rsid w:val="002B511B"/>
    <w:rsid w:val="002D6083"/>
    <w:rsid w:val="002D6FE5"/>
    <w:rsid w:val="002E6AED"/>
    <w:rsid w:val="002E7285"/>
    <w:rsid w:val="003367F0"/>
    <w:rsid w:val="00362284"/>
    <w:rsid w:val="003859C5"/>
    <w:rsid w:val="0039171A"/>
    <w:rsid w:val="003D348B"/>
    <w:rsid w:val="003E71D7"/>
    <w:rsid w:val="00413ED9"/>
    <w:rsid w:val="00435446"/>
    <w:rsid w:val="00440360"/>
    <w:rsid w:val="00441CEE"/>
    <w:rsid w:val="00467AC1"/>
    <w:rsid w:val="0047094B"/>
    <w:rsid w:val="0048564C"/>
    <w:rsid w:val="004931FC"/>
    <w:rsid w:val="00497F5C"/>
    <w:rsid w:val="004D1785"/>
    <w:rsid w:val="00501CCA"/>
    <w:rsid w:val="005169BE"/>
    <w:rsid w:val="00520E3C"/>
    <w:rsid w:val="005248F9"/>
    <w:rsid w:val="0053755B"/>
    <w:rsid w:val="00540DA4"/>
    <w:rsid w:val="00576549"/>
    <w:rsid w:val="005A1AA7"/>
    <w:rsid w:val="005D62D9"/>
    <w:rsid w:val="005E1791"/>
    <w:rsid w:val="005E222C"/>
    <w:rsid w:val="005E38AE"/>
    <w:rsid w:val="00607065"/>
    <w:rsid w:val="00623195"/>
    <w:rsid w:val="006569DF"/>
    <w:rsid w:val="0065748D"/>
    <w:rsid w:val="0065798F"/>
    <w:rsid w:val="00683844"/>
    <w:rsid w:val="00685A43"/>
    <w:rsid w:val="006D32A6"/>
    <w:rsid w:val="006E48EF"/>
    <w:rsid w:val="006F7C02"/>
    <w:rsid w:val="00710D9B"/>
    <w:rsid w:val="0071721E"/>
    <w:rsid w:val="007347E1"/>
    <w:rsid w:val="00741F13"/>
    <w:rsid w:val="00754AE3"/>
    <w:rsid w:val="00777DB0"/>
    <w:rsid w:val="007A0411"/>
    <w:rsid w:val="007A4804"/>
    <w:rsid w:val="007C36F6"/>
    <w:rsid w:val="007E5A18"/>
    <w:rsid w:val="0080575C"/>
    <w:rsid w:val="00822F53"/>
    <w:rsid w:val="008A71EB"/>
    <w:rsid w:val="008C319A"/>
    <w:rsid w:val="008C54A2"/>
    <w:rsid w:val="008D7BDA"/>
    <w:rsid w:val="008E66E4"/>
    <w:rsid w:val="008E7F30"/>
    <w:rsid w:val="00922E72"/>
    <w:rsid w:val="00937456"/>
    <w:rsid w:val="00950A5B"/>
    <w:rsid w:val="00961D7E"/>
    <w:rsid w:val="00965588"/>
    <w:rsid w:val="00982959"/>
    <w:rsid w:val="009A0BA3"/>
    <w:rsid w:val="009B5BD6"/>
    <w:rsid w:val="00A11C62"/>
    <w:rsid w:val="00A94EA2"/>
    <w:rsid w:val="00AA6B41"/>
    <w:rsid w:val="00AA6B5E"/>
    <w:rsid w:val="00AB6989"/>
    <w:rsid w:val="00AC4552"/>
    <w:rsid w:val="00AC4E28"/>
    <w:rsid w:val="00AF4A4A"/>
    <w:rsid w:val="00B4526E"/>
    <w:rsid w:val="00B61497"/>
    <w:rsid w:val="00B64741"/>
    <w:rsid w:val="00B8094F"/>
    <w:rsid w:val="00B81F47"/>
    <w:rsid w:val="00B9797D"/>
    <w:rsid w:val="00C00043"/>
    <w:rsid w:val="00C04C37"/>
    <w:rsid w:val="00C24E0C"/>
    <w:rsid w:val="00C475C8"/>
    <w:rsid w:val="00C47987"/>
    <w:rsid w:val="00C616BF"/>
    <w:rsid w:val="00C62362"/>
    <w:rsid w:val="00C705FF"/>
    <w:rsid w:val="00C72C13"/>
    <w:rsid w:val="00C7679B"/>
    <w:rsid w:val="00C849E3"/>
    <w:rsid w:val="00C865BF"/>
    <w:rsid w:val="00CB600E"/>
    <w:rsid w:val="00CC09DD"/>
    <w:rsid w:val="00CC1FE2"/>
    <w:rsid w:val="00CC37D9"/>
    <w:rsid w:val="00CD5670"/>
    <w:rsid w:val="00CF25F7"/>
    <w:rsid w:val="00D04F6B"/>
    <w:rsid w:val="00D10F08"/>
    <w:rsid w:val="00D136D7"/>
    <w:rsid w:val="00D3518E"/>
    <w:rsid w:val="00D40A66"/>
    <w:rsid w:val="00D537FC"/>
    <w:rsid w:val="00D60C5A"/>
    <w:rsid w:val="00E34401"/>
    <w:rsid w:val="00E349AE"/>
    <w:rsid w:val="00E44AE7"/>
    <w:rsid w:val="00E82D7F"/>
    <w:rsid w:val="00EC38E3"/>
    <w:rsid w:val="00EC763C"/>
    <w:rsid w:val="00ED68D4"/>
    <w:rsid w:val="00EE6E8B"/>
    <w:rsid w:val="00EF692C"/>
    <w:rsid w:val="00F02562"/>
    <w:rsid w:val="00F17D61"/>
    <w:rsid w:val="00F42483"/>
    <w:rsid w:val="00F528D4"/>
    <w:rsid w:val="00F77B5D"/>
    <w:rsid w:val="00F973B8"/>
    <w:rsid w:val="00FA4473"/>
    <w:rsid w:val="00FC338F"/>
    <w:rsid w:val="01026044"/>
    <w:rsid w:val="02BD7C6C"/>
    <w:rsid w:val="02F15B1D"/>
    <w:rsid w:val="041F1C97"/>
    <w:rsid w:val="044C005F"/>
    <w:rsid w:val="05D55C6F"/>
    <w:rsid w:val="069462D8"/>
    <w:rsid w:val="06B0721D"/>
    <w:rsid w:val="07FF3C30"/>
    <w:rsid w:val="0933263B"/>
    <w:rsid w:val="09E04044"/>
    <w:rsid w:val="0C3F3D9C"/>
    <w:rsid w:val="0CCE0BAF"/>
    <w:rsid w:val="0CE35FC6"/>
    <w:rsid w:val="0CFD303E"/>
    <w:rsid w:val="0D1A5F4A"/>
    <w:rsid w:val="0E075818"/>
    <w:rsid w:val="0E7B1A12"/>
    <w:rsid w:val="0F7B5A52"/>
    <w:rsid w:val="11EE2818"/>
    <w:rsid w:val="12012842"/>
    <w:rsid w:val="13586536"/>
    <w:rsid w:val="13A82C46"/>
    <w:rsid w:val="14EB085A"/>
    <w:rsid w:val="15982D43"/>
    <w:rsid w:val="15D2682A"/>
    <w:rsid w:val="195725A3"/>
    <w:rsid w:val="19B73F67"/>
    <w:rsid w:val="1C890C55"/>
    <w:rsid w:val="1F740BA3"/>
    <w:rsid w:val="201E34E5"/>
    <w:rsid w:val="211B2859"/>
    <w:rsid w:val="21241EC4"/>
    <w:rsid w:val="23D11207"/>
    <w:rsid w:val="2511088D"/>
    <w:rsid w:val="258050ED"/>
    <w:rsid w:val="25E36E36"/>
    <w:rsid w:val="27A734DB"/>
    <w:rsid w:val="286164C4"/>
    <w:rsid w:val="2B7B679F"/>
    <w:rsid w:val="2DCA00B4"/>
    <w:rsid w:val="303A3EC4"/>
    <w:rsid w:val="30B5427E"/>
    <w:rsid w:val="30BE5094"/>
    <w:rsid w:val="32AD069B"/>
    <w:rsid w:val="345658B9"/>
    <w:rsid w:val="345B0AFC"/>
    <w:rsid w:val="348C2B24"/>
    <w:rsid w:val="359C7279"/>
    <w:rsid w:val="35AB4B79"/>
    <w:rsid w:val="366E59FE"/>
    <w:rsid w:val="37511B5C"/>
    <w:rsid w:val="376D5B03"/>
    <w:rsid w:val="384C7B3C"/>
    <w:rsid w:val="391A7194"/>
    <w:rsid w:val="3A7952AD"/>
    <w:rsid w:val="3BBE477C"/>
    <w:rsid w:val="3C9C1C5C"/>
    <w:rsid w:val="3CBD799E"/>
    <w:rsid w:val="3CFC3695"/>
    <w:rsid w:val="3DCA6641"/>
    <w:rsid w:val="3E755C34"/>
    <w:rsid w:val="3EEB6115"/>
    <w:rsid w:val="40F64CEF"/>
    <w:rsid w:val="4215496B"/>
    <w:rsid w:val="426A4BFB"/>
    <w:rsid w:val="42C11FA2"/>
    <w:rsid w:val="43EC7349"/>
    <w:rsid w:val="44AA7C4F"/>
    <w:rsid w:val="451B54B9"/>
    <w:rsid w:val="460B768B"/>
    <w:rsid w:val="479A3654"/>
    <w:rsid w:val="47BE1927"/>
    <w:rsid w:val="485C7685"/>
    <w:rsid w:val="49741FCF"/>
    <w:rsid w:val="498B1BCD"/>
    <w:rsid w:val="4A620CB5"/>
    <w:rsid w:val="4CF237E7"/>
    <w:rsid w:val="4DAE3BB7"/>
    <w:rsid w:val="4F5C6565"/>
    <w:rsid w:val="4FC93A14"/>
    <w:rsid w:val="50FA2431"/>
    <w:rsid w:val="52C21653"/>
    <w:rsid w:val="537C75F2"/>
    <w:rsid w:val="568104D4"/>
    <w:rsid w:val="58BE5A94"/>
    <w:rsid w:val="59876091"/>
    <w:rsid w:val="5A000AD2"/>
    <w:rsid w:val="5A957136"/>
    <w:rsid w:val="5AA009BB"/>
    <w:rsid w:val="5AB21390"/>
    <w:rsid w:val="5D832A9F"/>
    <w:rsid w:val="5DE01A52"/>
    <w:rsid w:val="5DE71D6B"/>
    <w:rsid w:val="5E1970AB"/>
    <w:rsid w:val="5F3B466E"/>
    <w:rsid w:val="61DB4097"/>
    <w:rsid w:val="61EF02D8"/>
    <w:rsid w:val="623217E4"/>
    <w:rsid w:val="62322DFF"/>
    <w:rsid w:val="6241584E"/>
    <w:rsid w:val="62E07895"/>
    <w:rsid w:val="631E3A69"/>
    <w:rsid w:val="63227F5B"/>
    <w:rsid w:val="6341728D"/>
    <w:rsid w:val="63C05C09"/>
    <w:rsid w:val="640645D8"/>
    <w:rsid w:val="6446646B"/>
    <w:rsid w:val="65941C34"/>
    <w:rsid w:val="662B6137"/>
    <w:rsid w:val="669920D3"/>
    <w:rsid w:val="67573C5A"/>
    <w:rsid w:val="67DE2093"/>
    <w:rsid w:val="683241B2"/>
    <w:rsid w:val="6A1A0D5C"/>
    <w:rsid w:val="6A705B85"/>
    <w:rsid w:val="6CCB5ABD"/>
    <w:rsid w:val="6CD44872"/>
    <w:rsid w:val="6D2C2D3E"/>
    <w:rsid w:val="6D8F1AC2"/>
    <w:rsid w:val="6EDD5692"/>
    <w:rsid w:val="6EEB4639"/>
    <w:rsid w:val="715A34B5"/>
    <w:rsid w:val="726E4A87"/>
    <w:rsid w:val="72703FD9"/>
    <w:rsid w:val="74C47AFF"/>
    <w:rsid w:val="75EB4275"/>
    <w:rsid w:val="75FB5E65"/>
    <w:rsid w:val="76A11CA1"/>
    <w:rsid w:val="76D86670"/>
    <w:rsid w:val="77D149A7"/>
    <w:rsid w:val="77D261BE"/>
    <w:rsid w:val="77E14847"/>
    <w:rsid w:val="781B0162"/>
    <w:rsid w:val="79194177"/>
    <w:rsid w:val="7A792E79"/>
    <w:rsid w:val="7C480527"/>
    <w:rsid w:val="7C7B5DD3"/>
    <w:rsid w:val="7C9B60C2"/>
    <w:rsid w:val="7D4B4922"/>
    <w:rsid w:val="7E88134C"/>
    <w:rsid w:val="7F0166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610</Words>
  <Characters>3482</Characters>
  <Lines>29</Lines>
  <Paragraphs>8</Paragraphs>
  <TotalTime>8</TotalTime>
  <ScaleCrop>false</ScaleCrop>
  <LinksUpToDate>false</LinksUpToDate>
  <CharactersWithSpaces>4084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2018-04-18T08:17:00Z</dcterms:created>
  <dc:creator>NTKO</dc:creator>
  <cp:lastModifiedBy>冯晓婷</cp:lastModifiedBy>
  <dcterms:modified xsi:type="dcterms:W3CDTF">2019-12-11T08:56:42Z</dcterms:modified>
  <cp:revision>851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